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3"/>
        <w:gridCol w:w="2435"/>
        <w:gridCol w:w="780"/>
        <w:gridCol w:w="870"/>
        <w:gridCol w:w="628"/>
        <w:gridCol w:w="780"/>
        <w:gridCol w:w="828"/>
        <w:gridCol w:w="685"/>
        <w:gridCol w:w="828"/>
        <w:gridCol w:w="867"/>
        <w:gridCol w:w="954"/>
        <w:gridCol w:w="532"/>
        <w:gridCol w:w="508"/>
        <w:gridCol w:w="831"/>
        <w:gridCol w:w="697"/>
        <w:gridCol w:w="676"/>
        <w:gridCol w:w="795"/>
        <w:gridCol w:w="804"/>
      </w:tblGrid>
      <w:tr w:rsidR="00C777C7" w:rsidRPr="00C777C7" w:rsidTr="00C2162D">
        <w:trPr>
          <w:trHeight w:val="838"/>
        </w:trPr>
        <w:tc>
          <w:tcPr>
            <w:tcW w:w="5000" w:type="pct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777C7" w:rsidRPr="00C777C7" w:rsidRDefault="00C777C7" w:rsidP="00C777C7">
            <w:pPr>
              <w:spacing w:after="0" w:line="240" w:lineRule="auto"/>
              <w:ind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u w:val="single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Biểu mẫu số 61 - NĐ 31/2017</w:t>
            </w:r>
          </w:p>
          <w:p w:rsidR="00C2162D" w:rsidRDefault="00C2162D" w:rsidP="00C777C7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bookmarkStart w:id="0" w:name="RANGE!A3"/>
          </w:p>
          <w:p w:rsidR="00C777C7" w:rsidRPr="00C2162D" w:rsidRDefault="00C777C7" w:rsidP="00C2162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777C7">
              <w:rPr>
                <w:rFonts w:eastAsia="Times New Roman" w:cs="Times New Roman"/>
                <w:b/>
                <w:bCs/>
                <w:sz w:val="24"/>
                <w:szCs w:val="24"/>
              </w:rPr>
              <w:t>QUYẾT TOÁN CHI CHƯƠNG TRÌNH MỤC TIÊU QUỐC GIA NĂM 2022</w:t>
            </w:r>
          </w:p>
          <w:bookmarkEnd w:id="0"/>
          <w:p w:rsidR="00C777C7" w:rsidRDefault="00C777C7" w:rsidP="00C2162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777C7">
              <w:rPr>
                <w:rFonts w:eastAsia="Times New Roman" w:cs="Times New Roman"/>
                <w:b/>
                <w:bCs/>
                <w:sz w:val="24"/>
                <w:szCs w:val="24"/>
              </w:rPr>
              <w:t>(Dùng cho ngân sách các cấp chính quyền địa phương)</w:t>
            </w:r>
          </w:p>
          <w:p w:rsidR="00C2162D" w:rsidRPr="00C777C7" w:rsidRDefault="00C2162D" w:rsidP="00C2162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62D" w:rsidRPr="00C777C7" w:rsidRDefault="00C2162D" w:rsidP="00C777C7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i/>
                <w:iCs/>
                <w:sz w:val="18"/>
                <w:szCs w:val="18"/>
              </w:rPr>
              <w:t>Đơn vị: tr. đồng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Nội dung (1)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Dự toán</w:t>
            </w:r>
          </w:p>
        </w:tc>
        <w:tc>
          <w:tcPr>
            <w:tcW w:w="22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Quyết toán</w:t>
            </w:r>
          </w:p>
        </w:tc>
        <w:tc>
          <w:tcPr>
            <w:tcW w:w="7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So sánh (%)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Ghi chú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Tổng số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Trong đó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Tổng số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Trong đó</w:t>
            </w:r>
          </w:p>
        </w:tc>
        <w:tc>
          <w:tcPr>
            <w:tcW w:w="15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Chương trình mục tiêu quốc gia 2022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Tổng số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Trong đó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Đầu tư phát triển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Kinh phí sự nghiệp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Đầu tư phát triển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Kinh phí sự nghiệp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Tổng số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Chi đầu tư phát triển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Kinh phí sự nghiệp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Chi đầu tư phát triển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Chi thường xuyên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Tổng số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Chia ra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Tổng số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Chia ra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Vốn trong nước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Vốn ngoài nước</w:t>
            </w: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Vốn trong nước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12= 4/1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13= 8/2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14 = 9/3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TỔNG SỐ 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449.584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449.079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505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206.631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206.272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359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206.631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206.272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206.272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359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359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46%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46%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71%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Chương trình mục tiêu phát triển hệ thống trợ giúp xã hội.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13.000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12.800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18.688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18.586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18.688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18.586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18.586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144%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145%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51%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25753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Trung tâm C</w:t>
            </w:r>
            <w:r w:rsidR="00C777C7" w:rsidRPr="00C777C7">
              <w:rPr>
                <w:rFonts w:eastAsia="Times New Roman" w:cs="Times New Roman"/>
                <w:sz w:val="18"/>
                <w:szCs w:val="18"/>
              </w:rPr>
              <w:t>ông tác xã hội tổng hợp tỉnh Đồng Nai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12.800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12.800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18.586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18.586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18.586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18.586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18.586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145%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145%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 xml:space="preserve">Sở Lao động </w:t>
            </w:r>
            <w:r w:rsidR="00C25753">
              <w:rPr>
                <w:rFonts w:eastAsia="Times New Roman" w:cs="Times New Roman"/>
                <w:sz w:val="18"/>
                <w:szCs w:val="18"/>
              </w:rPr>
              <w:t xml:space="preserve">- </w:t>
            </w:r>
            <w:r w:rsidRPr="00C777C7">
              <w:rPr>
                <w:rFonts w:eastAsia="Times New Roman" w:cs="Times New Roman"/>
                <w:sz w:val="18"/>
                <w:szCs w:val="18"/>
              </w:rPr>
              <w:t>Thương binh và Xã hội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102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102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102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102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102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51%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51%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Chương trình mục tiêu phát triển KTXH các vùng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436.279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436.279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187.686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187.686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187.686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187.686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187.686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43%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43%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Đường ven sông Đồng Nai, thành phố Biên Hòa (từ cầu Hóa An đến giáp ranh huyện Vĩnh Cửu)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125.129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125.129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125.129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125.129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125.129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125%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125%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Xây dựng mới tuyến đường nối Hương lộ 10 đoạn từ ranh giới huyện Cẩm Mỹ và huyện Long Thàn</w:t>
            </w:r>
            <w:r w:rsidR="00C25753">
              <w:rPr>
                <w:rFonts w:eastAsia="Times New Roman" w:cs="Times New Roman"/>
                <w:sz w:val="18"/>
                <w:szCs w:val="18"/>
              </w:rPr>
              <w:t>h đến vị trí giao với ĐT 769 (đoạn tránh S</w:t>
            </w:r>
            <w:r w:rsidRPr="00C777C7">
              <w:rPr>
                <w:rFonts w:eastAsia="Times New Roman" w:cs="Times New Roman"/>
                <w:sz w:val="18"/>
                <w:szCs w:val="18"/>
              </w:rPr>
              <w:t>ân bay quốc tế Long Thành)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7.809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7.809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7.809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7.809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7.809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Nâng cấp ĐT 763 đoạn từ Km0+000 đến Km29+500 (cuối tuyến)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70.000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70.000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13.317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13.317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13.317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13.317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13.317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19%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19%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25753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Đường V</w:t>
            </w:r>
            <w:r w:rsidR="00C777C7" w:rsidRPr="00C777C7">
              <w:rPr>
                <w:rFonts w:eastAsia="Times New Roman" w:cs="Times New Roman"/>
                <w:sz w:val="18"/>
                <w:szCs w:val="18"/>
              </w:rPr>
              <w:t>ành đai 1, thành phố Long Khánh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630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630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630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630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630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Xây dựng kè sông Đồng Nai, thành phố Biên Hòa, (từ cầu Hóa An đến giáp ranh huyện Vĩnh Cửu)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86.279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86.279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23.127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23.127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23.127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23.127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23.127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27%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27%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Đườ</w:t>
            </w:r>
            <w:r w:rsidR="00C25753">
              <w:rPr>
                <w:rFonts w:eastAsia="Times New Roman" w:cs="Times New Roman"/>
                <w:sz w:val="18"/>
                <w:szCs w:val="18"/>
              </w:rPr>
              <w:t>n</w:t>
            </w:r>
            <w:r w:rsidRPr="00C777C7">
              <w:rPr>
                <w:rFonts w:eastAsia="Times New Roman" w:cs="Times New Roman"/>
                <w:sz w:val="18"/>
                <w:szCs w:val="18"/>
              </w:rPr>
              <w:t>g liên cảng huyện Nhơn Trạch giai đoạn 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10.000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10.000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5.623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5.623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5.623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5.623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5.623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56%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56%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25753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Kè</w:t>
            </w:r>
            <w:r w:rsidR="00642CBA">
              <w:rPr>
                <w:rFonts w:eastAsia="Times New Roman" w:cs="Times New Roman"/>
                <w:sz w:val="18"/>
                <w:szCs w:val="18"/>
              </w:rPr>
              <w:t xml:space="preserve"> chống sạt lở bờ</w:t>
            </w:r>
            <w:r w:rsidR="00C777C7" w:rsidRPr="00C777C7">
              <w:rPr>
                <w:rFonts w:eastAsia="Times New Roman" w:cs="Times New Roman"/>
                <w:sz w:val="18"/>
                <w:szCs w:val="18"/>
              </w:rPr>
              <w:t xml:space="preserve"> sông Đồng Nai (đoạn từ cầu </w:t>
            </w:r>
            <w:r w:rsidR="00642CBA">
              <w:rPr>
                <w:rFonts w:eastAsia="Times New Roman" w:cs="Times New Roman"/>
                <w:sz w:val="18"/>
                <w:szCs w:val="18"/>
              </w:rPr>
              <w:t>Rạch Cát đến cầu Ghềnh phía Cù lao Phố</w:t>
            </w:r>
            <w:r w:rsidR="00C777C7" w:rsidRPr="00C777C7">
              <w:rPr>
                <w:rFonts w:eastAsia="Times New Roman" w:cs="Times New Roman"/>
                <w:sz w:val="18"/>
                <w:szCs w:val="18"/>
              </w:rPr>
              <w:t>) thành phố Biên Hòa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60.000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60.000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0%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Xây dựng đường trung tâm thành phố Biên Hòa (đoạn từ đường Võ Thị Sáu đến đường Đặng Văn Trơn)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110.000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110.000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12.028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12.028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12.028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12.028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12.028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11%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11%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Chương trình mục tiêu phát triển văn hóa (0720-00729)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84%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84%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642CBA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Hội Văn học n</w:t>
            </w:r>
            <w:bookmarkStart w:id="1" w:name="_GoBack"/>
            <w:bookmarkEnd w:id="1"/>
            <w:r w:rsidR="00C777C7" w:rsidRPr="00C777C7">
              <w:rPr>
                <w:rFonts w:eastAsia="Times New Roman" w:cs="Times New Roman"/>
                <w:sz w:val="18"/>
                <w:szCs w:val="18"/>
              </w:rPr>
              <w:t>ghệ thuật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225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225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179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179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179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179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179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79%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79%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777C7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C2162D" w:rsidRPr="00C777C7" w:rsidTr="00C2162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Hội Nhà báo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80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78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98%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98%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7" w:rsidRPr="00C777C7" w:rsidRDefault="00C777C7" w:rsidP="00C2162D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0C777C7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</w:tbl>
    <w:p w:rsidR="00F43081" w:rsidRPr="00C777C7" w:rsidRDefault="00F43081" w:rsidP="00C777C7"/>
    <w:sectPr w:rsidR="00F43081" w:rsidRPr="00C777C7" w:rsidSect="001A16F4">
      <w:pgSz w:w="16840" w:h="11907" w:orient="landscape" w:code="9"/>
      <w:pgMar w:top="1134" w:right="964" w:bottom="1134" w:left="851" w:header="737" w:footer="7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49" w:rsidRDefault="00E44F49" w:rsidP="00E96AE5">
      <w:pPr>
        <w:spacing w:after="0" w:line="240" w:lineRule="auto"/>
      </w:pPr>
      <w:r>
        <w:separator/>
      </w:r>
    </w:p>
  </w:endnote>
  <w:endnote w:type="continuationSeparator" w:id="0">
    <w:p w:rsidR="00E44F49" w:rsidRDefault="00E44F49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49" w:rsidRDefault="00E44F49" w:rsidP="00E96AE5">
      <w:pPr>
        <w:spacing w:after="0" w:line="240" w:lineRule="auto"/>
      </w:pPr>
      <w:r>
        <w:separator/>
      </w:r>
    </w:p>
  </w:footnote>
  <w:footnote w:type="continuationSeparator" w:id="0">
    <w:p w:rsidR="00E44F49" w:rsidRDefault="00E44F49" w:rsidP="00E96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025A9"/>
    <w:rsid w:val="00070859"/>
    <w:rsid w:val="000D0AF6"/>
    <w:rsid w:val="00112C30"/>
    <w:rsid w:val="001333CC"/>
    <w:rsid w:val="001A16F4"/>
    <w:rsid w:val="00220EC3"/>
    <w:rsid w:val="003E376F"/>
    <w:rsid w:val="00586AE7"/>
    <w:rsid w:val="005C2AE0"/>
    <w:rsid w:val="00620EC3"/>
    <w:rsid w:val="00642CBA"/>
    <w:rsid w:val="006F1C47"/>
    <w:rsid w:val="007A61A4"/>
    <w:rsid w:val="00852500"/>
    <w:rsid w:val="00853CC3"/>
    <w:rsid w:val="00946246"/>
    <w:rsid w:val="00954F61"/>
    <w:rsid w:val="009640E3"/>
    <w:rsid w:val="00A7117A"/>
    <w:rsid w:val="00B1254C"/>
    <w:rsid w:val="00B3477C"/>
    <w:rsid w:val="00BE2496"/>
    <w:rsid w:val="00C2162D"/>
    <w:rsid w:val="00C25753"/>
    <w:rsid w:val="00C777C7"/>
    <w:rsid w:val="00DF47EB"/>
    <w:rsid w:val="00E03DFB"/>
    <w:rsid w:val="00E2769E"/>
    <w:rsid w:val="00E44F49"/>
    <w:rsid w:val="00E953B1"/>
    <w:rsid w:val="00E96AE5"/>
    <w:rsid w:val="00EC07C7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  <w:style w:type="numbering" w:customStyle="1" w:styleId="NoList7">
    <w:name w:val="No List7"/>
    <w:next w:val="NoList"/>
    <w:uiPriority w:val="99"/>
    <w:semiHidden/>
    <w:unhideWhenUsed/>
    <w:rsid w:val="00B3477C"/>
  </w:style>
  <w:style w:type="paragraph" w:customStyle="1" w:styleId="xl65">
    <w:name w:val="xl65"/>
    <w:basedOn w:val="Normal"/>
    <w:rsid w:val="00B3477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  <w:style w:type="numbering" w:customStyle="1" w:styleId="NoList7">
    <w:name w:val="No List7"/>
    <w:next w:val="NoList"/>
    <w:uiPriority w:val="99"/>
    <w:semiHidden/>
    <w:unhideWhenUsed/>
    <w:rsid w:val="00B3477C"/>
  </w:style>
  <w:style w:type="paragraph" w:customStyle="1" w:styleId="xl65">
    <w:name w:val="xl65"/>
    <w:basedOn w:val="Normal"/>
    <w:rsid w:val="00B3477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420F3-75E6-4864-B3D2-BB665A5022D6}"/>
</file>

<file path=customXml/itemProps2.xml><?xml version="1.0" encoding="utf-8"?>
<ds:datastoreItem xmlns:ds="http://schemas.openxmlformats.org/officeDocument/2006/customXml" ds:itemID="{174DBCE2-05FA-4B11-9A16-47F555639051}"/>
</file>

<file path=customXml/itemProps3.xml><?xml version="1.0" encoding="utf-8"?>
<ds:datastoreItem xmlns:ds="http://schemas.openxmlformats.org/officeDocument/2006/customXml" ds:itemID="{E30B7743-10CE-44D7-B4CF-F11CCCAE5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3</cp:revision>
  <cp:lastPrinted>2024-02-19T07:49:00Z</cp:lastPrinted>
  <dcterms:created xsi:type="dcterms:W3CDTF">2024-02-07T01:25:00Z</dcterms:created>
  <dcterms:modified xsi:type="dcterms:W3CDTF">2024-02-19T08:00:00Z</dcterms:modified>
</cp:coreProperties>
</file>