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C30" w:rsidRPr="00112C30" w:rsidRDefault="00112C30" w:rsidP="00112C30">
      <w:pPr>
        <w:spacing w:after="0" w:line="240" w:lineRule="auto"/>
        <w:jc w:val="right"/>
        <w:rPr>
          <w:rFonts w:eastAsia="Times New Roman" w:cs="Times New Roman"/>
          <w:b/>
          <w:bCs/>
          <w:sz w:val="24"/>
          <w:szCs w:val="24"/>
        </w:rPr>
      </w:pPr>
      <w:r w:rsidRPr="00112C30">
        <w:rPr>
          <w:rFonts w:eastAsia="Times New Roman" w:cs="Times New Roman"/>
          <w:b/>
          <w:bCs/>
          <w:sz w:val="24"/>
          <w:szCs w:val="24"/>
        </w:rPr>
        <w:t xml:space="preserve">Biểu mẫu số 51 - NĐ 31 </w:t>
      </w:r>
    </w:p>
    <w:p w:rsidR="00112C30" w:rsidRDefault="00112C30" w:rsidP="00112C30">
      <w:pPr>
        <w:spacing w:after="0" w:line="240" w:lineRule="auto"/>
        <w:jc w:val="center"/>
        <w:rPr>
          <w:rFonts w:eastAsia="Times New Roman" w:cs="Times New Roman"/>
          <w:b/>
          <w:bCs/>
          <w:szCs w:val="28"/>
        </w:rPr>
      </w:pPr>
      <w:bookmarkStart w:id="0" w:name="RANGE!A3"/>
    </w:p>
    <w:p w:rsidR="00112C30" w:rsidRDefault="00112C30" w:rsidP="00112C30">
      <w:pPr>
        <w:spacing w:after="0" w:line="240" w:lineRule="auto"/>
        <w:jc w:val="center"/>
        <w:rPr>
          <w:rFonts w:eastAsia="Times New Roman" w:cs="Times New Roman"/>
          <w:b/>
          <w:bCs/>
          <w:szCs w:val="28"/>
        </w:rPr>
      </w:pPr>
      <w:r w:rsidRPr="00112C30">
        <w:rPr>
          <w:rFonts w:eastAsia="Times New Roman" w:cs="Times New Roman"/>
          <w:b/>
          <w:bCs/>
          <w:szCs w:val="28"/>
        </w:rPr>
        <w:t xml:space="preserve">QUYẾT TOÁN CHI NGÂN SÁCH ĐỊA </w:t>
      </w:r>
      <w:r w:rsidR="003F091B">
        <w:rPr>
          <w:rFonts w:eastAsia="Times New Roman" w:cs="Times New Roman"/>
          <w:b/>
          <w:bCs/>
          <w:szCs w:val="28"/>
        </w:rPr>
        <w:t xml:space="preserve">PHƯƠNG, CHI NGÂN SÁCH CẤP TỈNH VÀ CHI NGÂN SÁCH HUYỆN </w:t>
      </w:r>
      <w:bookmarkStart w:id="1" w:name="_GoBack"/>
      <w:bookmarkEnd w:id="1"/>
      <w:r w:rsidRPr="00112C30">
        <w:rPr>
          <w:rFonts w:eastAsia="Times New Roman" w:cs="Times New Roman"/>
          <w:b/>
          <w:bCs/>
          <w:szCs w:val="28"/>
        </w:rPr>
        <w:t>THEO CƠ CẤU CHI NĂM 2022</w:t>
      </w:r>
      <w:bookmarkEnd w:id="0"/>
    </w:p>
    <w:p w:rsidR="00112C30" w:rsidRPr="00112C30" w:rsidRDefault="00112C30" w:rsidP="00112C30">
      <w:pPr>
        <w:spacing w:after="0" w:line="240" w:lineRule="auto"/>
        <w:jc w:val="center"/>
        <w:rPr>
          <w:szCs w:val="28"/>
        </w:rPr>
      </w:pPr>
    </w:p>
    <w:tbl>
      <w:tblPr>
        <w:tblW w:w="9659" w:type="dxa"/>
        <w:tblInd w:w="108" w:type="dxa"/>
        <w:tblLook w:val="04A0" w:firstRow="1" w:lastRow="0" w:firstColumn="1" w:lastColumn="0" w:noHBand="0" w:noVBand="1"/>
      </w:tblPr>
      <w:tblGrid>
        <w:gridCol w:w="708"/>
        <w:gridCol w:w="4717"/>
        <w:gridCol w:w="1532"/>
        <w:gridCol w:w="1470"/>
        <w:gridCol w:w="1232"/>
      </w:tblGrid>
      <w:tr w:rsidR="00112C30" w:rsidRPr="00112C30" w:rsidTr="00112C30">
        <w:trPr>
          <w:trHeight w:val="20"/>
        </w:trPr>
        <w:tc>
          <w:tcPr>
            <w:tcW w:w="708" w:type="dxa"/>
            <w:tcBorders>
              <w:top w:val="nil"/>
              <w:left w:val="nil"/>
              <w:bottom w:val="single" w:sz="4" w:space="0" w:color="auto"/>
              <w:right w:val="nil"/>
            </w:tcBorders>
            <w:shd w:val="clear" w:color="auto" w:fill="auto"/>
            <w:noWrap/>
            <w:vAlign w:val="bottom"/>
            <w:hideMark/>
          </w:tcPr>
          <w:p w:rsidR="00112C30" w:rsidRPr="00112C30" w:rsidRDefault="00112C30" w:rsidP="00112C30">
            <w:pPr>
              <w:spacing w:before="40" w:after="40" w:line="240" w:lineRule="auto"/>
              <w:rPr>
                <w:rFonts w:ascii="Calibri" w:eastAsia="Times New Roman" w:hAnsi="Calibri" w:cs="Calibri"/>
                <w:sz w:val="26"/>
                <w:szCs w:val="26"/>
              </w:rPr>
            </w:pPr>
          </w:p>
        </w:tc>
        <w:tc>
          <w:tcPr>
            <w:tcW w:w="4717" w:type="dxa"/>
            <w:tcBorders>
              <w:top w:val="nil"/>
              <w:left w:val="nil"/>
              <w:bottom w:val="single" w:sz="4" w:space="0" w:color="auto"/>
              <w:right w:val="nil"/>
            </w:tcBorders>
            <w:shd w:val="clear" w:color="auto" w:fill="auto"/>
            <w:noWrap/>
            <w:vAlign w:val="bottom"/>
            <w:hideMark/>
          </w:tcPr>
          <w:p w:rsidR="00112C30" w:rsidRPr="00112C30" w:rsidRDefault="00112C30" w:rsidP="00112C30">
            <w:pPr>
              <w:spacing w:before="40" w:after="40" w:line="240" w:lineRule="auto"/>
              <w:rPr>
                <w:rFonts w:eastAsia="Times New Roman" w:cs="Times New Roman"/>
                <w:sz w:val="26"/>
                <w:szCs w:val="26"/>
              </w:rPr>
            </w:pPr>
          </w:p>
        </w:tc>
        <w:tc>
          <w:tcPr>
            <w:tcW w:w="1532" w:type="dxa"/>
            <w:tcBorders>
              <w:top w:val="nil"/>
              <w:left w:val="nil"/>
              <w:bottom w:val="single" w:sz="4" w:space="0" w:color="auto"/>
              <w:right w:val="nil"/>
            </w:tcBorders>
            <w:shd w:val="clear" w:color="auto" w:fill="auto"/>
            <w:noWrap/>
            <w:vAlign w:val="bottom"/>
            <w:hideMark/>
          </w:tcPr>
          <w:p w:rsidR="00112C30" w:rsidRPr="00112C30" w:rsidRDefault="00112C30" w:rsidP="00112C30">
            <w:pPr>
              <w:spacing w:before="40" w:after="40" w:line="240" w:lineRule="auto"/>
              <w:rPr>
                <w:rFonts w:eastAsia="Times New Roman" w:cs="Times New Roman"/>
                <w:sz w:val="26"/>
                <w:szCs w:val="26"/>
              </w:rPr>
            </w:pPr>
          </w:p>
        </w:tc>
        <w:tc>
          <w:tcPr>
            <w:tcW w:w="2702" w:type="dxa"/>
            <w:gridSpan w:val="2"/>
            <w:tcBorders>
              <w:top w:val="nil"/>
              <w:left w:val="nil"/>
              <w:bottom w:val="single" w:sz="4" w:space="0" w:color="auto"/>
              <w:right w:val="nil"/>
            </w:tcBorders>
            <w:shd w:val="clear" w:color="auto" w:fill="auto"/>
            <w:noWrap/>
            <w:vAlign w:val="bottom"/>
            <w:hideMark/>
          </w:tcPr>
          <w:p w:rsidR="00112C30" w:rsidRPr="00112C30" w:rsidRDefault="00112C30" w:rsidP="00112C30">
            <w:pPr>
              <w:spacing w:before="40" w:after="40" w:line="240" w:lineRule="auto"/>
              <w:jc w:val="right"/>
              <w:rPr>
                <w:rFonts w:eastAsia="Times New Roman" w:cs="Times New Roman"/>
                <w:i/>
                <w:iCs/>
                <w:sz w:val="26"/>
                <w:szCs w:val="26"/>
              </w:rPr>
            </w:pPr>
            <w:r w:rsidRPr="00112C30">
              <w:rPr>
                <w:rFonts w:eastAsia="Times New Roman" w:cs="Times New Roman"/>
                <w:i/>
                <w:iCs/>
                <w:sz w:val="26"/>
                <w:szCs w:val="26"/>
              </w:rPr>
              <w:t xml:space="preserve"> Đvt: Triệu đồng </w:t>
            </w:r>
          </w:p>
        </w:tc>
      </w:tr>
      <w:tr w:rsidR="00112C30" w:rsidRPr="00112C30" w:rsidTr="00112C30">
        <w:trPr>
          <w:trHeight w:val="339"/>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STT</w:t>
            </w:r>
          </w:p>
        </w:tc>
        <w:tc>
          <w:tcPr>
            <w:tcW w:w="4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 xml:space="preserve">Nội dung </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 xml:space="preserve"> Dự toán 2022 </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 xml:space="preserve"> Tổng cộng quyết toán 2022 </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 xml:space="preserve"> So sánh (%) </w:t>
            </w:r>
          </w:p>
        </w:tc>
      </w:tr>
      <w:tr w:rsidR="00112C30" w:rsidRPr="00112C30" w:rsidTr="00112C30">
        <w:trPr>
          <w:trHeight w:val="379"/>
        </w:trPr>
        <w:tc>
          <w:tcPr>
            <w:tcW w:w="708" w:type="dxa"/>
            <w:vMerge/>
            <w:tcBorders>
              <w:top w:val="single" w:sz="4" w:space="0" w:color="auto"/>
              <w:left w:val="single" w:sz="4" w:space="0" w:color="auto"/>
              <w:bottom w:val="single" w:sz="4" w:space="0" w:color="auto"/>
              <w:right w:val="single" w:sz="4" w:space="0" w:color="auto"/>
            </w:tcBorders>
            <w:vAlign w:val="center"/>
            <w:hideMark/>
          </w:tcPr>
          <w:p w:rsidR="00112C30" w:rsidRPr="00112C30" w:rsidRDefault="00112C30" w:rsidP="00112C30">
            <w:pPr>
              <w:spacing w:before="40" w:after="40" w:line="240" w:lineRule="auto"/>
              <w:rPr>
                <w:rFonts w:eastAsia="Times New Roman" w:cs="Times New Roman"/>
                <w:b/>
                <w:bCs/>
                <w:sz w:val="26"/>
                <w:szCs w:val="26"/>
              </w:rPr>
            </w:pPr>
          </w:p>
        </w:tc>
        <w:tc>
          <w:tcPr>
            <w:tcW w:w="4717" w:type="dxa"/>
            <w:vMerge/>
            <w:tcBorders>
              <w:top w:val="single" w:sz="4" w:space="0" w:color="auto"/>
              <w:left w:val="single" w:sz="4" w:space="0" w:color="auto"/>
              <w:bottom w:val="single" w:sz="4" w:space="0" w:color="auto"/>
              <w:right w:val="single" w:sz="4" w:space="0" w:color="auto"/>
            </w:tcBorders>
            <w:vAlign w:val="center"/>
            <w:hideMark/>
          </w:tcPr>
          <w:p w:rsidR="00112C30" w:rsidRPr="00112C30" w:rsidRDefault="00112C30" w:rsidP="00112C30">
            <w:pPr>
              <w:spacing w:before="40" w:after="40" w:line="240" w:lineRule="auto"/>
              <w:rPr>
                <w:rFonts w:eastAsia="Times New Roman" w:cs="Times New Roman"/>
                <w:b/>
                <w:bCs/>
                <w:sz w:val="26"/>
                <w:szCs w:val="26"/>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112C30" w:rsidRPr="00112C30" w:rsidRDefault="00112C30" w:rsidP="00112C30">
            <w:pPr>
              <w:spacing w:before="40" w:after="40" w:line="240" w:lineRule="auto"/>
              <w:rPr>
                <w:rFonts w:eastAsia="Times New Roman" w:cs="Times New Roman"/>
                <w:b/>
                <w:bCs/>
                <w:sz w:val="26"/>
                <w:szCs w:val="26"/>
              </w:rPr>
            </w:pPr>
          </w:p>
        </w:tc>
        <w:tc>
          <w:tcPr>
            <w:tcW w:w="1470" w:type="dxa"/>
            <w:vMerge/>
            <w:tcBorders>
              <w:top w:val="single" w:sz="4" w:space="0" w:color="auto"/>
              <w:left w:val="single" w:sz="4" w:space="0" w:color="auto"/>
              <w:bottom w:val="single" w:sz="4" w:space="0" w:color="auto"/>
              <w:right w:val="single" w:sz="4" w:space="0" w:color="auto"/>
            </w:tcBorders>
            <w:vAlign w:val="center"/>
            <w:hideMark/>
          </w:tcPr>
          <w:p w:rsidR="00112C30" w:rsidRPr="00112C30" w:rsidRDefault="00112C30" w:rsidP="00112C30">
            <w:pPr>
              <w:spacing w:before="40" w:after="40" w:line="240" w:lineRule="auto"/>
              <w:rPr>
                <w:rFonts w:eastAsia="Times New Roman" w:cs="Times New Roman"/>
                <w:b/>
                <w:bCs/>
                <w:sz w:val="26"/>
                <w:szCs w:val="26"/>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rsidR="00112C30" w:rsidRPr="00112C30" w:rsidRDefault="00112C30" w:rsidP="00112C30">
            <w:pPr>
              <w:spacing w:before="40" w:after="40" w:line="240" w:lineRule="auto"/>
              <w:rPr>
                <w:rFonts w:eastAsia="Times New Roman" w:cs="Times New Roman"/>
                <w:b/>
                <w:bCs/>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A</w:t>
            </w:r>
          </w:p>
        </w:tc>
        <w:tc>
          <w:tcPr>
            <w:tcW w:w="4717" w:type="dxa"/>
            <w:tcBorders>
              <w:top w:val="single" w:sz="4" w:space="0" w:color="auto"/>
              <w:left w:val="nil"/>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B</w:t>
            </w:r>
          </w:p>
        </w:tc>
        <w:tc>
          <w:tcPr>
            <w:tcW w:w="1532" w:type="dxa"/>
            <w:tcBorders>
              <w:top w:val="single" w:sz="4" w:space="0" w:color="auto"/>
              <w:left w:val="nil"/>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1</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2</w:t>
            </w:r>
          </w:p>
        </w:tc>
        <w:tc>
          <w:tcPr>
            <w:tcW w:w="1232" w:type="dxa"/>
            <w:tcBorders>
              <w:top w:val="single" w:sz="4" w:space="0" w:color="auto"/>
              <w:left w:val="nil"/>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3=2/1</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 </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TỔNG CHI NSĐP</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27.476.545</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63.837.471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232%</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A</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CÂN ĐỐI NSĐP</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27.026.961</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29.132.881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108%</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I</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đầu tư phát triển</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10.321.820</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13.674.208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132%</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1</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Chi đầu tư cho các dự án</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10.129.415</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10.125.364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100%</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 </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Trong đó: Chia theo lĩnh vực</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6.986.000</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10.125.364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145%</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i/>
                <w:iCs/>
                <w:sz w:val="26"/>
                <w:szCs w:val="26"/>
              </w:rPr>
            </w:pPr>
            <w:r w:rsidRPr="00112C30">
              <w:rPr>
                <w:rFonts w:eastAsia="Times New Roman" w:cs="Times New Roman"/>
                <w:i/>
                <w:iCs/>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i/>
                <w:iCs/>
                <w:sz w:val="26"/>
                <w:szCs w:val="26"/>
              </w:rPr>
            </w:pPr>
            <w:r w:rsidRPr="00112C30">
              <w:rPr>
                <w:rFonts w:eastAsia="Times New Roman" w:cs="Times New Roman"/>
                <w:i/>
                <w:iCs/>
                <w:sz w:val="26"/>
                <w:szCs w:val="26"/>
              </w:rPr>
              <w:t>Chi giáo dục - đào tạo và dạy nghề</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i/>
                <w:iCs/>
                <w:sz w:val="26"/>
                <w:szCs w:val="26"/>
              </w:rPr>
            </w:pPr>
            <w:r w:rsidRPr="00112C30">
              <w:rPr>
                <w:rFonts w:eastAsia="Times New Roman" w:cs="Times New Roman"/>
                <w:i/>
                <w:iCs/>
                <w:sz w:val="26"/>
                <w:szCs w:val="26"/>
              </w:rPr>
              <w:t>1.824.727</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i/>
                <w:iCs/>
                <w:sz w:val="26"/>
                <w:szCs w:val="26"/>
              </w:rPr>
            </w:pPr>
            <w:r w:rsidRPr="00112C30">
              <w:rPr>
                <w:rFonts w:eastAsia="Times New Roman" w:cs="Times New Roman"/>
                <w:i/>
                <w:iCs/>
                <w:sz w:val="26"/>
                <w:szCs w:val="26"/>
              </w:rPr>
              <w:t>1.416.298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i/>
                <w:iCs/>
                <w:sz w:val="26"/>
                <w:szCs w:val="26"/>
              </w:rPr>
            </w:pPr>
            <w:r w:rsidRPr="00112C30">
              <w:rPr>
                <w:rFonts w:eastAsia="Times New Roman" w:cs="Times New Roman"/>
                <w:i/>
                <w:iCs/>
                <w:sz w:val="26"/>
                <w:szCs w:val="26"/>
              </w:rPr>
              <w:t>78%</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i/>
                <w:iCs/>
                <w:sz w:val="26"/>
                <w:szCs w:val="26"/>
              </w:rPr>
            </w:pPr>
            <w:r w:rsidRPr="00112C30">
              <w:rPr>
                <w:rFonts w:eastAsia="Times New Roman" w:cs="Times New Roman"/>
                <w:i/>
                <w:iCs/>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i/>
                <w:iCs/>
                <w:sz w:val="26"/>
                <w:szCs w:val="26"/>
              </w:rPr>
            </w:pPr>
            <w:r w:rsidRPr="00112C30">
              <w:rPr>
                <w:rFonts w:eastAsia="Times New Roman" w:cs="Times New Roman"/>
                <w:i/>
                <w:iCs/>
                <w:sz w:val="26"/>
                <w:szCs w:val="26"/>
              </w:rPr>
              <w:t>Chi khoa học và công nghệ</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i/>
                <w:iCs/>
                <w:sz w:val="26"/>
                <w:szCs w:val="26"/>
              </w:rPr>
            </w:pPr>
            <w:r w:rsidRPr="00112C30">
              <w:rPr>
                <w:rFonts w:eastAsia="Times New Roman" w:cs="Times New Roman"/>
                <w:i/>
                <w:iCs/>
                <w:sz w:val="26"/>
                <w:szCs w:val="26"/>
              </w:rPr>
              <w:t>10.039</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i/>
                <w:iCs/>
                <w:sz w:val="26"/>
                <w:szCs w:val="26"/>
              </w:rPr>
            </w:pPr>
            <w:r w:rsidRPr="00112C30">
              <w:rPr>
                <w:rFonts w:eastAsia="Times New Roman" w:cs="Times New Roman"/>
                <w:i/>
                <w:iCs/>
                <w:sz w:val="26"/>
                <w:szCs w:val="26"/>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i/>
                <w:iCs/>
                <w:sz w:val="26"/>
                <w:szCs w:val="26"/>
              </w:rPr>
            </w:pPr>
            <w:r w:rsidRPr="00112C30">
              <w:rPr>
                <w:rFonts w:eastAsia="Times New Roman" w:cs="Times New Roman"/>
                <w:i/>
                <w:iCs/>
                <w:sz w:val="26"/>
                <w:szCs w:val="26"/>
              </w:rPr>
              <w:t>0%</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 </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Trong đó: Chia theo nguồn vốn</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10.129.415</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10.125.364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100%</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Chi đầu tư từ nguồn thu tiền sử dụng đất</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4.093.000</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2.643.224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65%</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Chi đầu tư từ nguồn thu xổ số kiến thiết</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1.671.714</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1.366.443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82%</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Chi đầu tư từ nguồn ngân sách tập trung</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4.265.868</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2.609.023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61%</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Nguồn vốn trái phiếu chính phủ</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3.338.597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Ghi thu - ghi chi XHH GTNT</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Nguồn cải cách tiền lương</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28.140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 xml:space="preserve">Chi đầu tư từ nguồn XHH </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 xml:space="preserve">Chi đầu tư từ nguồn kết dư ngân sách </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7.267</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Khác</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5.846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Nguồn vốn vay KBNN TW năm 2012</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Nguồn nhân dân đóng góp</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92.018</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Chi từ nguồn thuế tài nguyên nước</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34.806</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Nguồn vốn vay Ngân hàng TMCP BIDV</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Bội chi</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Vốn vay ODA</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98.833</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0%</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2</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Chi đầu tư và hỗ trợ vốn cho các doanh nghiệp cung cấp sản phẩm, dịch vụ công ích do Nhà nước đặt hàng, các tổ chức kinh tế, các tổ chức tài chính của địa phương theo quy định của pháp luật</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i/>
                <w:iCs/>
                <w:sz w:val="26"/>
                <w:szCs w:val="26"/>
              </w:rPr>
            </w:pPr>
            <w:r w:rsidRPr="00112C30">
              <w:rPr>
                <w:rFonts w:eastAsia="Times New Roman" w:cs="Times New Roman"/>
                <w:i/>
                <w:iCs/>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3</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Chi đầu tư phát triển khác</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192.405</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3.548.845</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1844%</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II</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thường xuyên</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14.427.465</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14.705.762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102%</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lastRenderedPageBreak/>
              <w:t> </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i/>
                <w:iCs/>
                <w:sz w:val="26"/>
                <w:szCs w:val="26"/>
              </w:rPr>
            </w:pPr>
            <w:r w:rsidRPr="00112C30">
              <w:rPr>
                <w:rFonts w:eastAsia="Times New Roman" w:cs="Times New Roman"/>
                <w:i/>
                <w:iCs/>
                <w:sz w:val="26"/>
                <w:szCs w:val="26"/>
              </w:rPr>
              <w:t>Trong đó:</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i/>
                <w:iCs/>
                <w:sz w:val="26"/>
                <w:szCs w:val="26"/>
              </w:rPr>
            </w:pPr>
            <w:r w:rsidRPr="00112C30">
              <w:rPr>
                <w:rFonts w:eastAsia="Times New Roman" w:cs="Times New Roman"/>
                <w:i/>
                <w:iCs/>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2</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Chi giáo dục - đào tạo và dạy nghề</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5.471.370</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5.056.822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92%</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sz w:val="26"/>
                <w:szCs w:val="26"/>
              </w:rPr>
            </w:pPr>
            <w:r w:rsidRPr="00112C30">
              <w:rPr>
                <w:rFonts w:eastAsia="Times New Roman" w:cs="Times New Roman"/>
                <w:sz w:val="26"/>
                <w:szCs w:val="26"/>
              </w:rPr>
              <w:t>3</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sz w:val="26"/>
                <w:szCs w:val="26"/>
              </w:rPr>
            </w:pPr>
            <w:r w:rsidRPr="00112C30">
              <w:rPr>
                <w:rFonts w:eastAsia="Times New Roman" w:cs="Times New Roman"/>
                <w:sz w:val="26"/>
                <w:szCs w:val="26"/>
              </w:rPr>
              <w:t>Chi khoa học và công nghệ</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72.085</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27.474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r w:rsidRPr="00112C30">
              <w:rPr>
                <w:rFonts w:eastAsia="Times New Roman" w:cs="Times New Roman"/>
                <w:sz w:val="26"/>
                <w:szCs w:val="26"/>
              </w:rPr>
              <w:t>38%</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III</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trả nợ lãi các khoản do chính quyền địa phương vay</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0,13</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IV</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trả gốc các khoản do chính quyền địa phương vay</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0,30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V</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bổ sung quỹ dự trữ tài chính</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752.910</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752.910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100%</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VI</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Dự phòng ngân sách</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471.200</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VII</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tạo nguồn, điều chỉnh tiền lương</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1.053.566</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B</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TỪ NSTW BỔ SUNG CÓ MỤC TIÊU</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449.584</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206.631</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46%</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I</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thường xuyên</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505</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359</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II</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đầu tư</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449.079</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206.272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46%</w:t>
            </w: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C</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CHUYỂN NGUỒN SANG NĂM SAU</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14.441.914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D</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BỔ SUNG NGÂN SÁCH CẤP DƯỚI</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12.729.862</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sz w:val="26"/>
                <w:szCs w:val="26"/>
              </w:rPr>
            </w:pPr>
          </w:p>
        </w:tc>
      </w:tr>
      <w:tr w:rsidR="00112C30" w:rsidRPr="00112C30" w:rsidTr="00112C30">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center"/>
              <w:rPr>
                <w:rFonts w:eastAsia="Times New Roman" w:cs="Times New Roman"/>
                <w:b/>
                <w:bCs/>
                <w:sz w:val="26"/>
                <w:szCs w:val="26"/>
              </w:rPr>
            </w:pPr>
            <w:r w:rsidRPr="00112C30">
              <w:rPr>
                <w:rFonts w:eastAsia="Times New Roman" w:cs="Times New Roman"/>
                <w:b/>
                <w:bCs/>
                <w:sz w:val="26"/>
                <w:szCs w:val="26"/>
              </w:rPr>
              <w:t>E</w:t>
            </w:r>
          </w:p>
        </w:tc>
        <w:tc>
          <w:tcPr>
            <w:tcW w:w="4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both"/>
              <w:rPr>
                <w:rFonts w:eastAsia="Times New Roman" w:cs="Times New Roman"/>
                <w:b/>
                <w:bCs/>
                <w:sz w:val="26"/>
                <w:szCs w:val="26"/>
              </w:rPr>
            </w:pPr>
            <w:r w:rsidRPr="00112C30">
              <w:rPr>
                <w:rFonts w:eastAsia="Times New Roman" w:cs="Times New Roman"/>
                <w:b/>
                <w:bCs/>
                <w:sz w:val="26"/>
                <w:szCs w:val="26"/>
              </w:rPr>
              <w:t>CHI NỘP NS CẤP TRÊN</w:t>
            </w:r>
          </w:p>
        </w:tc>
        <w:tc>
          <w:tcPr>
            <w:tcW w:w="15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r w:rsidRPr="00112C30">
              <w:rPr>
                <w:rFonts w:eastAsia="Times New Roman" w:cs="Times New Roman"/>
                <w:b/>
                <w:bCs/>
                <w:sz w:val="26"/>
                <w:szCs w:val="26"/>
              </w:rPr>
              <w:t>7.326.184</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C30" w:rsidRPr="00112C30" w:rsidRDefault="00112C30" w:rsidP="00112C30">
            <w:pPr>
              <w:spacing w:before="40" w:after="40" w:line="240" w:lineRule="auto"/>
              <w:jc w:val="right"/>
              <w:rPr>
                <w:rFonts w:eastAsia="Times New Roman" w:cs="Times New Roman"/>
                <w:b/>
                <w:bCs/>
                <w:sz w:val="26"/>
                <w:szCs w:val="26"/>
              </w:rPr>
            </w:pPr>
          </w:p>
        </w:tc>
      </w:tr>
    </w:tbl>
    <w:p w:rsidR="00F43081" w:rsidRPr="00112C30" w:rsidRDefault="00F43081" w:rsidP="00112C30"/>
    <w:sectPr w:rsidR="00F43081" w:rsidRPr="00112C30" w:rsidSect="00E96AE5">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BE0" w:rsidRDefault="008D5BE0" w:rsidP="00E96AE5">
      <w:pPr>
        <w:spacing w:after="0" w:line="240" w:lineRule="auto"/>
      </w:pPr>
      <w:r>
        <w:separator/>
      </w:r>
    </w:p>
  </w:endnote>
  <w:endnote w:type="continuationSeparator" w:id="0">
    <w:p w:rsidR="008D5BE0" w:rsidRDefault="008D5BE0" w:rsidP="00E9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BE0" w:rsidRDefault="008D5BE0" w:rsidP="00E96AE5">
      <w:pPr>
        <w:spacing w:after="0" w:line="240" w:lineRule="auto"/>
      </w:pPr>
      <w:r>
        <w:separator/>
      </w:r>
    </w:p>
  </w:footnote>
  <w:footnote w:type="continuationSeparator" w:id="0">
    <w:p w:rsidR="008D5BE0" w:rsidRDefault="008D5BE0" w:rsidP="00E96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AE5" w:rsidRPr="00E96AE5" w:rsidRDefault="00E96AE5">
    <w:pPr>
      <w:pStyle w:val="Header"/>
      <w:rPr>
        <w:szCs w:val="28"/>
      </w:rPr>
    </w:pPr>
  </w:p>
  <w:p w:rsidR="00E96AE5" w:rsidRPr="00E96AE5" w:rsidRDefault="00E96AE5">
    <w:pPr>
      <w:pStyle w:val="Header"/>
      <w:rPr>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AE5"/>
    <w:rsid w:val="000025A9"/>
    <w:rsid w:val="000D0AF6"/>
    <w:rsid w:val="00112C30"/>
    <w:rsid w:val="001333CC"/>
    <w:rsid w:val="003E376F"/>
    <w:rsid w:val="003F091B"/>
    <w:rsid w:val="00586AE7"/>
    <w:rsid w:val="008D5BE0"/>
    <w:rsid w:val="00A7117A"/>
    <w:rsid w:val="00E96AE5"/>
    <w:rsid w:val="00F43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AE5"/>
  </w:style>
  <w:style w:type="paragraph" w:styleId="Footer">
    <w:name w:val="footer"/>
    <w:basedOn w:val="Normal"/>
    <w:link w:val="FooterChar"/>
    <w:uiPriority w:val="99"/>
    <w:unhideWhenUsed/>
    <w:rsid w:val="00E9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AE5"/>
  </w:style>
  <w:style w:type="paragraph" w:styleId="Footer">
    <w:name w:val="footer"/>
    <w:basedOn w:val="Normal"/>
    <w:link w:val="FooterChar"/>
    <w:uiPriority w:val="99"/>
    <w:unhideWhenUsed/>
    <w:rsid w:val="00E9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195">
      <w:bodyDiv w:val="1"/>
      <w:marLeft w:val="0"/>
      <w:marRight w:val="0"/>
      <w:marTop w:val="0"/>
      <w:marBottom w:val="0"/>
      <w:divBdr>
        <w:top w:val="none" w:sz="0" w:space="0" w:color="auto"/>
        <w:left w:val="none" w:sz="0" w:space="0" w:color="auto"/>
        <w:bottom w:val="none" w:sz="0" w:space="0" w:color="auto"/>
        <w:right w:val="none" w:sz="0" w:space="0" w:color="auto"/>
      </w:divBdr>
    </w:div>
    <w:div w:id="204290583">
      <w:bodyDiv w:val="1"/>
      <w:marLeft w:val="0"/>
      <w:marRight w:val="0"/>
      <w:marTop w:val="0"/>
      <w:marBottom w:val="0"/>
      <w:divBdr>
        <w:top w:val="none" w:sz="0" w:space="0" w:color="auto"/>
        <w:left w:val="none" w:sz="0" w:space="0" w:color="auto"/>
        <w:bottom w:val="none" w:sz="0" w:space="0" w:color="auto"/>
        <w:right w:val="none" w:sz="0" w:space="0" w:color="auto"/>
      </w:divBdr>
    </w:div>
    <w:div w:id="1131942981">
      <w:bodyDiv w:val="1"/>
      <w:marLeft w:val="0"/>
      <w:marRight w:val="0"/>
      <w:marTop w:val="0"/>
      <w:marBottom w:val="0"/>
      <w:divBdr>
        <w:top w:val="none" w:sz="0" w:space="0" w:color="auto"/>
        <w:left w:val="none" w:sz="0" w:space="0" w:color="auto"/>
        <w:bottom w:val="none" w:sz="0" w:space="0" w:color="auto"/>
        <w:right w:val="none" w:sz="0" w:space="0" w:color="auto"/>
      </w:divBdr>
    </w:div>
    <w:div w:id="1303580931">
      <w:bodyDiv w:val="1"/>
      <w:marLeft w:val="0"/>
      <w:marRight w:val="0"/>
      <w:marTop w:val="0"/>
      <w:marBottom w:val="0"/>
      <w:divBdr>
        <w:top w:val="none" w:sz="0" w:space="0" w:color="auto"/>
        <w:left w:val="none" w:sz="0" w:space="0" w:color="auto"/>
        <w:bottom w:val="none" w:sz="0" w:space="0" w:color="auto"/>
        <w:right w:val="none" w:sz="0" w:space="0" w:color="auto"/>
      </w:divBdr>
    </w:div>
    <w:div w:id="204728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29790-C239-4B55-811C-06981642B4F9}"/>
</file>

<file path=customXml/itemProps2.xml><?xml version="1.0" encoding="utf-8"?>
<ds:datastoreItem xmlns:ds="http://schemas.openxmlformats.org/officeDocument/2006/customXml" ds:itemID="{C59684C8-FF65-420C-A4D3-70548FB1EA41}"/>
</file>

<file path=customXml/itemProps3.xml><?xml version="1.0" encoding="utf-8"?>
<ds:datastoreItem xmlns:ds="http://schemas.openxmlformats.org/officeDocument/2006/customXml" ds:itemID="{6631D48A-0C0E-409C-A08C-ED77C88C7AA5}"/>
</file>

<file path=docProps/app.xml><?xml version="1.0" encoding="utf-8"?>
<Properties xmlns="http://schemas.openxmlformats.org/officeDocument/2006/extended-properties" xmlns:vt="http://schemas.openxmlformats.org/officeDocument/2006/docPropsVTypes">
  <Template>Normal</Template>
  <TotalTime>4</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MSI</cp:lastModifiedBy>
  <cp:revision>3</cp:revision>
  <cp:lastPrinted>2024-02-17T13:45:00Z</cp:lastPrinted>
  <dcterms:created xsi:type="dcterms:W3CDTF">2024-02-06T03:04:00Z</dcterms:created>
  <dcterms:modified xsi:type="dcterms:W3CDTF">2024-02-17T13:48:00Z</dcterms:modified>
</cp:coreProperties>
</file>