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49" w:type="pct"/>
        <w:tblInd w:w="108" w:type="dxa"/>
        <w:tblLook w:val="04A0" w:firstRow="1" w:lastRow="0" w:firstColumn="1" w:lastColumn="0" w:noHBand="0" w:noVBand="1"/>
      </w:tblPr>
      <w:tblGrid>
        <w:gridCol w:w="789"/>
        <w:gridCol w:w="1927"/>
        <w:gridCol w:w="4078"/>
        <w:gridCol w:w="2294"/>
        <w:gridCol w:w="1208"/>
        <w:gridCol w:w="1241"/>
        <w:gridCol w:w="1399"/>
        <w:gridCol w:w="1981"/>
      </w:tblGrid>
      <w:tr w:rsidR="00977C10" w:rsidRPr="00977C10" w:rsidTr="0007210C">
        <w:trPr>
          <w:trHeight w:val="20"/>
        </w:trPr>
        <w:tc>
          <w:tcPr>
            <w:tcW w:w="5000" w:type="pct"/>
            <w:gridSpan w:val="8"/>
            <w:shd w:val="clear" w:color="auto" w:fill="auto"/>
            <w:hideMark/>
          </w:tcPr>
          <w:p w:rsidR="00672505" w:rsidRPr="00977C10" w:rsidRDefault="00672505" w:rsidP="00672505">
            <w:pPr>
              <w:spacing w:after="0" w:line="240" w:lineRule="auto"/>
              <w:jc w:val="center"/>
              <w:rPr>
                <w:rFonts w:ascii="Times New Roman" w:eastAsia="Times New Roman" w:hAnsi="Times New Roman" w:cs="Times New Roman"/>
                <w:b/>
                <w:bCs/>
                <w:sz w:val="28"/>
                <w:szCs w:val="28"/>
              </w:rPr>
            </w:pPr>
            <w:bookmarkStart w:id="0" w:name="RANGE!A1:I59"/>
            <w:bookmarkStart w:id="1" w:name="_GoBack"/>
            <w:r w:rsidRPr="00977C10">
              <w:rPr>
                <w:rFonts w:ascii="Times New Roman" w:eastAsia="Times New Roman" w:hAnsi="Times New Roman" w:cs="Times New Roman"/>
                <w:b/>
                <w:bCs/>
                <w:sz w:val="28"/>
                <w:szCs w:val="28"/>
              </w:rPr>
              <w:t>Phụ lục II.2</w:t>
            </w:r>
          </w:p>
          <w:bookmarkEnd w:id="0"/>
          <w:p w:rsidR="00672505" w:rsidRPr="00977C10" w:rsidRDefault="00672505" w:rsidP="00672505">
            <w:pPr>
              <w:spacing w:after="0" w:line="240" w:lineRule="auto"/>
              <w:jc w:val="center"/>
              <w:rPr>
                <w:rFonts w:ascii="Times New Roman" w:eastAsia="Times New Roman" w:hAnsi="Times New Roman" w:cs="Times New Roman"/>
                <w:b/>
                <w:bCs/>
                <w:sz w:val="28"/>
                <w:szCs w:val="28"/>
              </w:rPr>
            </w:pPr>
            <w:r w:rsidRPr="00977C10">
              <w:rPr>
                <w:rFonts w:ascii="Times New Roman" w:eastAsia="Times New Roman" w:hAnsi="Times New Roman" w:cs="Times New Roman"/>
                <w:b/>
                <w:bCs/>
                <w:sz w:val="28"/>
                <w:szCs w:val="28"/>
              </w:rPr>
              <w:t>KẾ HOẠCH ĐẦU TƯ CÔNG TRUNG HẠN GIAI ĐOẠN 2026 - 2030 NGUỒN NGÂN SÁCH THÀNH PHỐ ĐỒNG NAI</w:t>
            </w:r>
          </w:p>
          <w:p w:rsidR="00672505" w:rsidRPr="00977C10" w:rsidRDefault="00672505" w:rsidP="00672505">
            <w:pPr>
              <w:spacing w:after="0" w:line="240" w:lineRule="auto"/>
              <w:jc w:val="center"/>
              <w:rPr>
                <w:rFonts w:ascii="Times New Roman" w:eastAsia="Times New Roman" w:hAnsi="Times New Roman" w:cs="Times New Roman"/>
                <w:i/>
                <w:iCs/>
                <w:sz w:val="28"/>
                <w:szCs w:val="28"/>
              </w:rPr>
            </w:pPr>
            <w:r w:rsidRPr="00977C10">
              <w:rPr>
                <w:rFonts w:ascii="Times New Roman" w:eastAsia="Times New Roman" w:hAnsi="Times New Roman" w:cs="Times New Roman"/>
                <w:i/>
                <w:iCs/>
                <w:sz w:val="28"/>
                <w:szCs w:val="28"/>
              </w:rPr>
              <w:t>(Kèm theo Nghị quyết số 19/NQ-HĐND ngày 09 tháng 7 năm 2026 của Hội đồng nhân dân thành phố)</w:t>
            </w:r>
          </w:p>
          <w:p w:rsidR="00672505" w:rsidRPr="00977C10" w:rsidRDefault="00672505" w:rsidP="00672505">
            <w:pPr>
              <w:spacing w:after="0" w:line="240" w:lineRule="auto"/>
              <w:jc w:val="center"/>
              <w:rPr>
                <w:rFonts w:ascii="Times New Roman" w:eastAsia="Times New Roman" w:hAnsi="Times New Roman" w:cs="Times New Roman"/>
                <w:b/>
                <w:bCs/>
                <w:sz w:val="28"/>
                <w:szCs w:val="28"/>
              </w:rPr>
            </w:pPr>
          </w:p>
        </w:tc>
      </w:tr>
      <w:tr w:rsidR="00977C10" w:rsidRPr="00977C10" w:rsidTr="0007210C">
        <w:trPr>
          <w:trHeight w:val="20"/>
        </w:trPr>
        <w:tc>
          <w:tcPr>
            <w:tcW w:w="264" w:type="pct"/>
            <w:tcBorders>
              <w:bottom w:val="single" w:sz="4" w:space="0" w:color="auto"/>
            </w:tcBorders>
            <w:shd w:val="clear" w:color="auto" w:fill="auto"/>
            <w:vAlign w:val="bottom"/>
            <w:hideMark/>
          </w:tcPr>
          <w:p w:rsidR="008C2027" w:rsidRPr="00977C10" w:rsidRDefault="008C2027" w:rsidP="008C2027">
            <w:pPr>
              <w:spacing w:after="0" w:line="240" w:lineRule="auto"/>
              <w:jc w:val="right"/>
              <w:rPr>
                <w:rFonts w:ascii="Times New Roman" w:eastAsia="Times New Roman" w:hAnsi="Times New Roman" w:cs="Times New Roman"/>
                <w:i/>
                <w:iCs/>
              </w:rPr>
            </w:pPr>
            <w:r w:rsidRPr="00977C10">
              <w:rPr>
                <w:rFonts w:ascii="Times New Roman" w:eastAsia="Times New Roman" w:hAnsi="Times New Roman" w:cs="Times New Roman"/>
                <w:i/>
                <w:iCs/>
              </w:rPr>
              <w:t> </w:t>
            </w:r>
          </w:p>
        </w:tc>
        <w:tc>
          <w:tcPr>
            <w:tcW w:w="646" w:type="pct"/>
            <w:tcBorders>
              <w:bottom w:val="single" w:sz="4" w:space="0" w:color="auto"/>
            </w:tcBorders>
            <w:shd w:val="clear" w:color="auto" w:fill="auto"/>
            <w:vAlign w:val="bottom"/>
            <w:hideMark/>
          </w:tcPr>
          <w:p w:rsidR="008C2027" w:rsidRPr="00977C10" w:rsidRDefault="008C2027" w:rsidP="008C2027">
            <w:pPr>
              <w:spacing w:after="0" w:line="240" w:lineRule="auto"/>
              <w:rPr>
                <w:rFonts w:ascii="Times New Roman" w:eastAsia="Times New Roman" w:hAnsi="Times New Roman" w:cs="Times New Roman"/>
                <w:i/>
                <w:iCs/>
              </w:rPr>
            </w:pPr>
            <w:r w:rsidRPr="00977C10">
              <w:rPr>
                <w:rFonts w:ascii="Times New Roman" w:eastAsia="Times New Roman" w:hAnsi="Times New Roman" w:cs="Times New Roman"/>
                <w:i/>
                <w:iCs/>
              </w:rPr>
              <w:t> </w:t>
            </w:r>
          </w:p>
        </w:tc>
        <w:tc>
          <w:tcPr>
            <w:tcW w:w="1367" w:type="pct"/>
            <w:tcBorders>
              <w:bottom w:val="single" w:sz="4" w:space="0" w:color="auto"/>
            </w:tcBorders>
            <w:shd w:val="clear" w:color="auto" w:fill="auto"/>
            <w:vAlign w:val="bottom"/>
            <w:hideMark/>
          </w:tcPr>
          <w:p w:rsidR="008C2027" w:rsidRPr="00977C10" w:rsidRDefault="008C2027" w:rsidP="008C2027">
            <w:pPr>
              <w:spacing w:after="0" w:line="240" w:lineRule="auto"/>
              <w:jc w:val="right"/>
              <w:rPr>
                <w:rFonts w:ascii="Times New Roman" w:eastAsia="Times New Roman" w:hAnsi="Times New Roman" w:cs="Times New Roman"/>
                <w:i/>
                <w:iCs/>
              </w:rPr>
            </w:pPr>
            <w:r w:rsidRPr="00977C10">
              <w:rPr>
                <w:rFonts w:ascii="Times New Roman" w:eastAsia="Times New Roman" w:hAnsi="Times New Roman" w:cs="Times New Roman"/>
                <w:i/>
                <w:iCs/>
              </w:rPr>
              <w:t> </w:t>
            </w:r>
          </w:p>
        </w:tc>
        <w:tc>
          <w:tcPr>
            <w:tcW w:w="769" w:type="pct"/>
            <w:tcBorders>
              <w:bottom w:val="single" w:sz="4" w:space="0" w:color="auto"/>
            </w:tcBorders>
            <w:shd w:val="clear" w:color="auto" w:fill="auto"/>
            <w:vAlign w:val="bottom"/>
            <w:hideMark/>
          </w:tcPr>
          <w:p w:rsidR="008C2027" w:rsidRPr="00977C10" w:rsidRDefault="008C2027" w:rsidP="008C2027">
            <w:pPr>
              <w:spacing w:after="0" w:line="240" w:lineRule="auto"/>
              <w:jc w:val="right"/>
              <w:rPr>
                <w:rFonts w:ascii="Times New Roman" w:eastAsia="Times New Roman" w:hAnsi="Times New Roman" w:cs="Times New Roman"/>
                <w:i/>
                <w:iCs/>
              </w:rPr>
            </w:pPr>
            <w:r w:rsidRPr="00977C10">
              <w:rPr>
                <w:rFonts w:ascii="Times New Roman" w:eastAsia="Times New Roman" w:hAnsi="Times New Roman" w:cs="Times New Roman"/>
                <w:i/>
                <w:iCs/>
              </w:rPr>
              <w:t> </w:t>
            </w:r>
          </w:p>
        </w:tc>
        <w:tc>
          <w:tcPr>
            <w:tcW w:w="405" w:type="pct"/>
            <w:tcBorders>
              <w:bottom w:val="single" w:sz="4" w:space="0" w:color="auto"/>
            </w:tcBorders>
            <w:shd w:val="clear" w:color="auto" w:fill="auto"/>
            <w:vAlign w:val="bottom"/>
            <w:hideMark/>
          </w:tcPr>
          <w:p w:rsidR="008C2027" w:rsidRPr="00977C10" w:rsidRDefault="008C2027" w:rsidP="008C2027">
            <w:pPr>
              <w:spacing w:after="0" w:line="240" w:lineRule="auto"/>
              <w:jc w:val="right"/>
              <w:rPr>
                <w:rFonts w:ascii="Times New Roman" w:eastAsia="Times New Roman" w:hAnsi="Times New Roman" w:cs="Times New Roman"/>
                <w:i/>
                <w:iCs/>
              </w:rPr>
            </w:pPr>
            <w:r w:rsidRPr="00977C10">
              <w:rPr>
                <w:rFonts w:ascii="Times New Roman" w:eastAsia="Times New Roman" w:hAnsi="Times New Roman" w:cs="Times New Roman"/>
                <w:i/>
                <w:iCs/>
              </w:rPr>
              <w:t> </w:t>
            </w:r>
          </w:p>
        </w:tc>
        <w:tc>
          <w:tcPr>
            <w:tcW w:w="416" w:type="pct"/>
            <w:tcBorders>
              <w:bottom w:val="single" w:sz="4" w:space="0" w:color="auto"/>
            </w:tcBorders>
            <w:shd w:val="clear" w:color="auto" w:fill="auto"/>
            <w:vAlign w:val="bottom"/>
            <w:hideMark/>
          </w:tcPr>
          <w:p w:rsidR="008C2027" w:rsidRPr="00977C10" w:rsidRDefault="008C2027" w:rsidP="008C2027">
            <w:pPr>
              <w:spacing w:after="0" w:line="240" w:lineRule="auto"/>
              <w:jc w:val="right"/>
              <w:rPr>
                <w:rFonts w:ascii="Times New Roman" w:eastAsia="Times New Roman" w:hAnsi="Times New Roman" w:cs="Times New Roman"/>
                <w:i/>
                <w:iCs/>
              </w:rPr>
            </w:pPr>
            <w:r w:rsidRPr="00977C10">
              <w:rPr>
                <w:rFonts w:ascii="Times New Roman" w:eastAsia="Times New Roman" w:hAnsi="Times New Roman" w:cs="Times New Roman"/>
                <w:i/>
                <w:iCs/>
              </w:rPr>
              <w:t> </w:t>
            </w:r>
          </w:p>
        </w:tc>
        <w:tc>
          <w:tcPr>
            <w:tcW w:w="1132" w:type="pct"/>
            <w:gridSpan w:val="2"/>
            <w:tcBorders>
              <w:bottom w:val="single" w:sz="4" w:space="0" w:color="auto"/>
            </w:tcBorders>
            <w:shd w:val="clear" w:color="auto" w:fill="auto"/>
            <w:vAlign w:val="bottom"/>
            <w:hideMark/>
          </w:tcPr>
          <w:p w:rsidR="008C2027" w:rsidRPr="00977C10" w:rsidRDefault="008C2027" w:rsidP="008C2027">
            <w:pPr>
              <w:spacing w:after="0" w:line="240" w:lineRule="auto"/>
              <w:jc w:val="right"/>
              <w:rPr>
                <w:rFonts w:ascii="Times New Roman" w:eastAsia="Times New Roman" w:hAnsi="Times New Roman" w:cs="Times New Roman"/>
                <w:i/>
                <w:iCs/>
              </w:rPr>
            </w:pPr>
            <w:r w:rsidRPr="00977C10">
              <w:rPr>
                <w:rFonts w:ascii="Times New Roman" w:eastAsia="Times New Roman" w:hAnsi="Times New Roman" w:cs="Times New Roman"/>
                <w:i/>
                <w:iCs/>
              </w:rPr>
              <w:t> </w:t>
            </w:r>
          </w:p>
        </w:tc>
      </w:tr>
      <w:tr w:rsidR="00977C10" w:rsidRPr="00977C10" w:rsidTr="00FF4B27">
        <w:trPr>
          <w:trHeight w:val="293"/>
        </w:trPr>
        <w:tc>
          <w:tcPr>
            <w:tcW w:w="2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STT</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Ngành, lĩnh vực</w:t>
            </w:r>
          </w:p>
        </w:tc>
        <w:tc>
          <w:tcPr>
            <w:tcW w:w="13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Danh mục dự án</w:t>
            </w:r>
          </w:p>
        </w:tc>
        <w:tc>
          <w:tcPr>
            <w:tcW w:w="1590"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Văn bản pháp lý</w:t>
            </w:r>
          </w:p>
        </w:tc>
        <w:tc>
          <w:tcPr>
            <w:tcW w:w="4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Kế hoạch đầu tư công trung hạn giai đoạn 2026-2030</w:t>
            </w:r>
          </w:p>
        </w:tc>
        <w:tc>
          <w:tcPr>
            <w:tcW w:w="6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Chủ đầu tư/Cơ quan chủ trì quản lý chương trình</w:t>
            </w:r>
          </w:p>
        </w:tc>
      </w:tr>
      <w:tr w:rsidR="00977C10" w:rsidRPr="00977C10" w:rsidTr="00FF4B27">
        <w:trPr>
          <w:trHeight w:val="333"/>
        </w:trPr>
        <w:tc>
          <w:tcPr>
            <w:tcW w:w="2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590" w:type="pct"/>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r>
      <w:tr w:rsidR="00977C10" w:rsidRPr="00977C10" w:rsidTr="00FF4B27">
        <w:trPr>
          <w:trHeight w:val="20"/>
        </w:trPr>
        <w:tc>
          <w:tcPr>
            <w:tcW w:w="2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7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Số, ký hiệu, ngày</w:t>
            </w:r>
          </w:p>
        </w:tc>
        <w:tc>
          <w:tcPr>
            <w:tcW w:w="8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xml:space="preserve"> TMĐT </w:t>
            </w:r>
          </w:p>
        </w:tc>
        <w:tc>
          <w:tcPr>
            <w:tcW w:w="4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r>
      <w:tr w:rsidR="00977C10" w:rsidRPr="00977C10" w:rsidTr="00FF4B27">
        <w:trPr>
          <w:trHeight w:val="333"/>
        </w:trPr>
        <w:tc>
          <w:tcPr>
            <w:tcW w:w="2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7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xml:space="preserve"> Tổng số (tất cả các nguồn vốn: TW, TP, khác) </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xml:space="preserve"> Trong đó: ngân sách thành phố (TP) </w:t>
            </w:r>
          </w:p>
        </w:tc>
        <w:tc>
          <w:tcPr>
            <w:tcW w:w="4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r>
      <w:tr w:rsidR="00977C10" w:rsidRPr="00977C10" w:rsidTr="00FF4B27">
        <w:trPr>
          <w:trHeight w:val="333"/>
        </w:trPr>
        <w:tc>
          <w:tcPr>
            <w:tcW w:w="2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7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0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r>
      <w:tr w:rsidR="00977C10" w:rsidRPr="00977C10" w:rsidTr="00FF4B27">
        <w:trPr>
          <w:trHeight w:val="333"/>
        </w:trPr>
        <w:tc>
          <w:tcPr>
            <w:tcW w:w="2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7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0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r>
      <w:tr w:rsidR="00977C10" w:rsidRPr="00977C10" w:rsidTr="00FF4B27">
        <w:trPr>
          <w:trHeight w:val="333"/>
        </w:trPr>
        <w:tc>
          <w:tcPr>
            <w:tcW w:w="2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13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7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0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4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p>
        </w:tc>
      </w:tr>
      <w:tr w:rsidR="00977C10" w:rsidRPr="00977C10" w:rsidTr="00FF4B27">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4</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6</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7</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8</w:t>
            </w:r>
          </w:p>
        </w:tc>
      </w:tr>
      <w:tr w:rsidR="00977C10" w:rsidRPr="00977C10" w:rsidTr="00FF4B27">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 </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TỔNG CỘNG</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139.147.674</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I</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Chương trình mục tiêu quốc gia</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4.850.440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Chương trình mục tiêu quốc gia xây dựng nông thôn mới, giảm nghèo bền vững và phát triển kinh tế - xã hội vùng đồng bào dân tộc thiểu số và miền núi</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3.189.000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Sở Nông nghiệp và Môi trường</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Chương trình mục tiêu quốc gia phòng, chống ma túy</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661.440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Công an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Chương trình mục tiêu quốc gia về phát triển văn hóa</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300.000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07210C">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Sở Văn hóa, </w:t>
            </w:r>
            <w:r w:rsidR="0007210C" w:rsidRPr="00977C10">
              <w:rPr>
                <w:rFonts w:ascii="Times New Roman" w:eastAsia="Times New Roman" w:hAnsi="Times New Roman" w:cs="Times New Roman"/>
              </w:rPr>
              <w:t>T</w:t>
            </w:r>
            <w:r w:rsidRPr="00977C10">
              <w:rPr>
                <w:rFonts w:ascii="Times New Roman" w:eastAsia="Times New Roman" w:hAnsi="Times New Roman" w:cs="Times New Roman"/>
              </w:rPr>
              <w:t xml:space="preserve">hể thao và </w:t>
            </w:r>
            <w:r w:rsidR="0007210C" w:rsidRPr="00977C10">
              <w:rPr>
                <w:rFonts w:ascii="Times New Roman" w:eastAsia="Times New Roman" w:hAnsi="Times New Roman" w:cs="Times New Roman"/>
              </w:rPr>
              <w:t>D</w:t>
            </w:r>
            <w:r w:rsidRPr="00977C10">
              <w:rPr>
                <w:rFonts w:ascii="Times New Roman" w:eastAsia="Times New Roman" w:hAnsi="Times New Roman" w:cs="Times New Roman"/>
              </w:rPr>
              <w:t>u lịch;</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 </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Chương trình mục tiêu quốc gia hiện đại hóa, nâng cao chất lượng giáo dục và đào tạo; Chương trình mục tiêu quốc gia về chăm sóc sức khỏe, dân số và phát triển</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700.000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Sở Giáo dục và Đào tạo; Sở Y tế</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II</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Chi lĩnh vực khoa học, công nghệ, đổi mới sáng tạo và chuyển đổi số</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b/>
                <w:bCs/>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3.775.892</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III</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Danh mục dự án thực hiện trong giai đoạn 2026-2030</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48.530.414</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lastRenderedPageBreak/>
              <w:t>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Đầu tư xây dựng cầu Xóm Lá</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10958/UBND-KTN ngày 01/12/2025</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1.877.000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1.877.000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07210C">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Ban </w:t>
            </w:r>
            <w:r w:rsidR="0007210C" w:rsidRPr="00977C10">
              <w:rPr>
                <w:rFonts w:ascii="Times New Roman" w:eastAsia="Times New Roman" w:hAnsi="Times New Roman" w:cs="Times New Roman"/>
              </w:rPr>
              <w:t>Q</w:t>
            </w:r>
            <w:r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Dự  án xây dựng cầu qua hồ Thác Mơ </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4329/UBND-KTN ngày 23/3/2026; 01/TTr-BQLDAĐTXD ngày 06/05/2026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939.000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939.000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Đầu tư xây dựng cầu Tân Hiền (cầu Tân Hiền - Thường Tân) kết nối tỉnh Đồng Nai với Thành phố Hồ Chí Minh</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2533/UBND-KTN ngày 13/02/2026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2.286.707</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2.286.707</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4</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Đầu tư xây dựng đường Phạm Văn Diêu từ đường D30 đến đường Nguyễn Thị Minh Khai</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10958/UBND-KTN ngày 01/12/2025</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1.127.670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1.127.670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Đầu tư xây dựng đường D21 từ đường Bùi Hữu Nghĩa đến đường ĐT.15 và đường LKV.27 kết nối đường D8</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10958/UBND-KTN ngày 01/12/2025</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1.888.410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1.888.410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6</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Đầu tư xây dựng đường D30 từ vòng xoay cầu Hang đến đường ĐT.14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10958/UBND-KTN ngày 01/12/2025</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2.248.320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2.248.320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7</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3. Giáo dục đào tạo và giáo dục nghề nghiệp</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Xây dựng Trường THCS&amp;THPT Đắk Mai, xã Bù Gia Mập, tỉnh Đồng Nai</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1829/UBND ngày 03/2/2026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80.000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8</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3. Giáo dục đào tạo và giáo dục nghề nghiệp</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Trường THCS và THPT Thuận Lợi</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3323/UBND-KTNS ngày 6/3/2026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200.000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9</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13. Dự án khác</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Nhóm 06 dự án bồi thường, giải phón</w:t>
            </w:r>
            <w:r w:rsidR="001630FC" w:rsidRPr="00977C10">
              <w:rPr>
                <w:rFonts w:ascii="Times New Roman" w:eastAsia="Times New Roman" w:hAnsi="Times New Roman" w:cs="Times New Roman"/>
              </w:rPr>
              <w:t>g mặt bằng tạo quỹ đất sạch (1-</w:t>
            </w:r>
            <w:r w:rsidRPr="00977C10">
              <w:rPr>
                <w:rFonts w:ascii="Times New Roman" w:eastAsia="Times New Roman" w:hAnsi="Times New Roman" w:cs="Times New Roman"/>
              </w:rPr>
              <w:t>khu đất 311,73</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ha tại Long Thành, Long Phước; 2-khu đất 57</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ha tại Phước An; 3-khu đất 318</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ha tại Nhơn Trạch, Phước An; 4-khu đất 1175</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ha tại Nhơn Trạch, Phước An; 5-khu đất 232</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ha tại Nhơn Trạch, Phước An; 6-bằng khu đất 372</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ha tại Nhơn Trạch)</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1186/IBND-KTNS ngày 21/5/2026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28.247.000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28.247.000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Trung tâm Phát triển quỹ đất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lastRenderedPageBreak/>
              <w:t>10</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Khu tái định cư Bàu Sen, phường Xuân Lập</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Trung tâm Phát triển quỹ đất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Khu tái định cư tại xã Xuân Hòa</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Trung tâm Phát triển quỹ đất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12</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Khu tái định cư ấp Bình Chánh, xã Tân An</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Văn bản số 4480/UBND-KTNS ngày 24/3/2026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118.863</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118.863</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khu vực 09</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13</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Đường quanh núi Chứa Chan</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3607/UBND-KTNS ngày 11/3/2026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3.722.371</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3.722.371</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07210C">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UBND </w:t>
            </w:r>
            <w:r w:rsidR="0007210C" w:rsidRPr="00977C10">
              <w:rPr>
                <w:rFonts w:ascii="Times New Roman" w:eastAsia="Times New Roman" w:hAnsi="Times New Roman" w:cs="Times New Roman"/>
              </w:rPr>
              <w:t>p</w:t>
            </w:r>
            <w:r w:rsidRPr="00977C10">
              <w:rPr>
                <w:rFonts w:ascii="Times New Roman" w:eastAsia="Times New Roman" w:hAnsi="Times New Roman" w:cs="Times New Roman"/>
              </w:rPr>
              <w:t>hường Xuân Lộc</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14</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đường ĐT.766 (đoạn tránh)</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3607/UBND-KTNS ngày 11/3/2026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1.818.070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1.818.070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UBND p</w:t>
            </w:r>
            <w:r w:rsidR="008C2027" w:rsidRPr="00977C10">
              <w:rPr>
                <w:rFonts w:ascii="Times New Roman" w:eastAsia="Times New Roman" w:hAnsi="Times New Roman" w:cs="Times New Roman"/>
              </w:rPr>
              <w:t xml:space="preserve">hường Xuân Lộc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15</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2. An ninh và trật tự, an toàn xã hội</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Đề án đảm bảo cơ sở vật chất cho Công an cấp xã trên địa bàn thành phố Đồng Nai giai đoạn 2025</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2030: Nhóm dự án xây dựng Trụ sở Công an cấp xã</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05/QĐ-UBND ngày 07/5/2026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 xml:space="preserve">    2.831.000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 xml:space="preserve">       2.831.000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Công an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16</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2. An ninh và trật tự, an toàn xã hội</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Đề án đảm bảo cơ sở vật chất cho Công an cấp xã trên địa bàn thành phố Đồng Nai giai đoạn 2025</w:t>
            </w:r>
            <w:r w:rsidR="001630FC" w:rsidRPr="00977C10">
              <w:rPr>
                <w:rFonts w:ascii="Times New Roman" w:eastAsia="Times New Roman" w:hAnsi="Times New Roman" w:cs="Times New Roman"/>
              </w:rPr>
              <w:t xml:space="preserve"> </w:t>
            </w:r>
            <w:r w:rsidRPr="00977C10">
              <w:rPr>
                <w:rFonts w:ascii="Times New Roman" w:eastAsia="Times New Roman" w:hAnsi="Times New Roman" w:cs="Times New Roman"/>
              </w:rPr>
              <w:t>-</w:t>
            </w:r>
            <w:r w:rsidR="001630FC" w:rsidRPr="00977C10">
              <w:rPr>
                <w:rFonts w:ascii="Times New Roman" w:eastAsia="Times New Roman" w:hAnsi="Times New Roman" w:cs="Times New Roman"/>
              </w:rPr>
              <w:t xml:space="preserve"> 2030: Nhóm dự án thuộc d</w:t>
            </w:r>
            <w:r w:rsidRPr="00977C10">
              <w:rPr>
                <w:rFonts w:ascii="Times New Roman" w:eastAsia="Times New Roman" w:hAnsi="Times New Roman" w:cs="Times New Roman"/>
              </w:rPr>
              <w:t>ự án mua sắm trang thiết bị, công cụ hỗ trợ cho Công an cấp xã</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05/QĐ-UBND ngày 07/5/2026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1.136.000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1.136.000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Công an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17</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rPr>
                <w:rFonts w:ascii="Times New Roman" w:eastAsia="Times New Roman" w:hAnsi="Times New Roman" w:cs="Times New Roman"/>
              </w:rPr>
            </w:pPr>
            <w:r w:rsidRPr="00977C10">
              <w:rPr>
                <w:rFonts w:ascii="Times New Roman" w:eastAsia="Times New Roman" w:hAnsi="Times New Roman" w:cs="Times New Roman"/>
              </w:rPr>
              <w:t>4. Khoa học, công nghệ, đổi mới sáng tạo và chuyển đổi số</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Đầu tư Trang thiết bị kỹ thuật nghiệp vụ phục vụ công tác của Công an thành phố Đồng Nai</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539/UBND-KTNS ngày 05/12/2025; 4958/H01-P5 ngày 10/6/2026 của Cục H01</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245.414</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245.414</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80" w:after="80" w:line="240" w:lineRule="auto"/>
              <w:jc w:val="both"/>
              <w:rPr>
                <w:rFonts w:ascii="Times New Roman" w:eastAsia="Times New Roman" w:hAnsi="Times New Roman" w:cs="Times New Roman"/>
              </w:rPr>
            </w:pPr>
            <w:r w:rsidRPr="00977C10">
              <w:rPr>
                <w:rFonts w:ascii="Times New Roman" w:eastAsia="Times New Roman" w:hAnsi="Times New Roman" w:cs="Times New Roman"/>
              </w:rPr>
              <w:t>Công an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18</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rPr>
                <w:rFonts w:ascii="Times New Roman" w:eastAsia="Times New Roman" w:hAnsi="Times New Roman" w:cs="Times New Roman"/>
              </w:rPr>
            </w:pPr>
            <w:r w:rsidRPr="00977C10">
              <w:rPr>
                <w:rFonts w:ascii="Times New Roman" w:eastAsia="Times New Roman" w:hAnsi="Times New Roman" w:cs="Times New Roman"/>
              </w:rPr>
              <w:t>11. Hoạt động của các cơ quan QLNN, đơn vị SNCL, tổ chức CT và tổ chức CT-XH</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w:t>
            </w:r>
            <w:r w:rsidR="001630FC" w:rsidRPr="00977C10">
              <w:rPr>
                <w:rFonts w:ascii="Times New Roman" w:eastAsia="Times New Roman" w:hAnsi="Times New Roman" w:cs="Times New Roman"/>
              </w:rPr>
              <w:t xml:space="preserve"> án x</w:t>
            </w:r>
            <w:r w:rsidRPr="00977C10">
              <w:rPr>
                <w:rFonts w:ascii="Times New Roman" w:eastAsia="Times New Roman" w:hAnsi="Times New Roman" w:cs="Times New Roman"/>
              </w:rPr>
              <w:t>ây dựng Hội trường Thành ủy Đồng Nai và các hạng mục phụ trợ</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135.000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135.000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right"/>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60" w:after="60" w:line="240" w:lineRule="auto"/>
              <w:jc w:val="both"/>
              <w:rPr>
                <w:rFonts w:ascii="Times New Roman" w:eastAsia="Times New Roman" w:hAnsi="Times New Roman" w:cs="Times New Roman"/>
              </w:rPr>
            </w:pPr>
            <w:r w:rsidRPr="00977C10">
              <w:rPr>
                <w:rFonts w:ascii="Times New Roman" w:eastAsia="Times New Roman" w:hAnsi="Times New Roman" w:cs="Times New Roman"/>
              </w:rPr>
              <w:t>Văn phòng Thành ủy</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lastRenderedPageBreak/>
              <w:t>IV</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Danh mục dự án PPP</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70.989.754</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Dự án thành phần 1: Đầu tư xây dựng đoạn từ cầu Mã Đà đến ngã ba Bà Hào, theo phương thức </w:t>
            </w:r>
            <w:r w:rsidR="001630FC" w:rsidRPr="00977C10">
              <w:rPr>
                <w:rFonts w:ascii="Times New Roman" w:eastAsia="Times New Roman" w:hAnsi="Times New Roman" w:cs="Times New Roman"/>
              </w:rPr>
              <w:t>đối tác công tư (thuộc dự án x</w:t>
            </w:r>
            <w:r w:rsidRPr="00977C10">
              <w:rPr>
                <w:rFonts w:ascii="Times New Roman" w:eastAsia="Times New Roman" w:hAnsi="Times New Roman" w:cs="Times New Roman"/>
              </w:rPr>
              <w:t>ây dựng tuyến đường kết n</w:t>
            </w:r>
            <w:r w:rsidR="001630FC" w:rsidRPr="00977C10">
              <w:rPr>
                <w:rFonts w:ascii="Times New Roman" w:eastAsia="Times New Roman" w:hAnsi="Times New Roman" w:cs="Times New Roman"/>
              </w:rPr>
              <w:t>ối từ cầu Mã Đà đến đường Vành đai 4 T</w:t>
            </w:r>
            <w:r w:rsidRPr="00977C10">
              <w:rPr>
                <w:rFonts w:ascii="Times New Roman" w:eastAsia="Times New Roman" w:hAnsi="Times New Roman" w:cs="Times New Roman"/>
              </w:rPr>
              <w:t>hành phố Hồ Chí Minh)</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28/NQ-HĐND ngày 28/4/2026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28.792.957</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Ban </w:t>
            </w:r>
            <w:r w:rsidR="0007210C" w:rsidRPr="00977C10">
              <w:rPr>
                <w:rFonts w:ascii="Times New Roman" w:eastAsia="Times New Roman" w:hAnsi="Times New Roman" w:cs="Times New Roman"/>
              </w:rPr>
              <w:t>Q</w:t>
            </w:r>
            <w:r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Đầu tư xây dựng kéo dài tuyến Metro Bến Thành </w:t>
            </w:r>
            <w:r w:rsidR="001630FC" w:rsidRPr="00977C10">
              <w:rPr>
                <w:rFonts w:ascii="Times New Roman" w:eastAsia="Times New Roman" w:hAnsi="Times New Roman" w:cs="Times New Roman"/>
              </w:rPr>
              <w:t>-</w:t>
            </w:r>
            <w:r w:rsidRPr="00977C10">
              <w:rPr>
                <w:rFonts w:ascii="Times New Roman" w:eastAsia="Times New Roman" w:hAnsi="Times New Roman" w:cs="Times New Roman"/>
              </w:rPr>
              <w:t xml:space="preserve"> Suối Tiên đến Trung tâm hành chính tỉnh và Cảng hàng không quốc tế Long Thành</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30/NQ-HĐND ngày 28/4/2026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65.573.800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Ban </w:t>
            </w:r>
            <w:r w:rsidR="0007210C" w:rsidRPr="00977C10">
              <w:rPr>
                <w:rFonts w:ascii="Times New Roman" w:eastAsia="Times New Roman" w:hAnsi="Times New Roman" w:cs="Times New Roman"/>
              </w:rPr>
              <w:t>Q</w:t>
            </w:r>
            <w:r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thành phần 2: Đầu tư xây dựng cầu Long Hưng (cầu Đồng Nai 2), bao gồm cầu chính bắc qua sông và cầu dẫn hai đầu cầu phía Thành phố Hồ Chí Minh và phía thành phố Đồng Nai (thuộc dự án Đầu tư xây dựng cầu Long Hưng (cầu Đồng Nai 2) theo phương thức đối tác công tư)</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55/NQ-HĐND ngày 10/12/2025; 07/NQ-HĐND ngày 11/6/2026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12.747.990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Ban </w:t>
            </w:r>
            <w:r w:rsidR="0007210C" w:rsidRPr="00977C10">
              <w:rPr>
                <w:rFonts w:ascii="Times New Roman" w:eastAsia="Times New Roman" w:hAnsi="Times New Roman" w:cs="Times New Roman"/>
              </w:rPr>
              <w:t>Q</w:t>
            </w:r>
            <w:r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4</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xml:space="preserve"> Dự án thành phần 2: Đầu tư xây dựng cầu Cát Lái, bao gồm cầu chính bắc qua sông và cầu dẫn hai đầu cầu phía Thành phố Hồ Chí Minh và phía t</w:t>
            </w:r>
            <w:r w:rsidR="0007210C" w:rsidRPr="00977C10">
              <w:rPr>
                <w:rFonts w:ascii="Times New Roman" w:eastAsia="Times New Roman" w:hAnsi="Times New Roman" w:cs="Times New Roman"/>
              </w:rPr>
              <w:t>hành phố Đồng Nai (thuộc dự án dự án đ</w:t>
            </w:r>
            <w:r w:rsidRPr="00977C10">
              <w:rPr>
                <w:rFonts w:ascii="Times New Roman" w:eastAsia="Times New Roman" w:hAnsi="Times New Roman" w:cs="Times New Roman"/>
              </w:rPr>
              <w:t>ầu tư xây dựng cầu Cát Lái theo phương thức đối tác công tư)</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54/NQ-HĐND ngày 10/12/2025;  08/NQ-HĐND ngày 11/6/2026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24.003.744</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thành phần 2: Đầu tư xây dựng Hương lộ 2 (đoạn từ Quốc lộ 51 đến cao tốc Thành phố Hồ Chí Minh - Long Thành - Dầu Giây)</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21/NQ-HĐND ngày 14 /4/2026</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6.534.270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6</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thành phần 1 đầu tư xây dựng đường cao tốc Bắc - Nam phía</w:t>
            </w:r>
            <w:r w:rsidR="0007210C" w:rsidRPr="00977C10">
              <w:rPr>
                <w:rFonts w:ascii="Times New Roman" w:eastAsia="Times New Roman" w:hAnsi="Times New Roman" w:cs="Times New Roman"/>
              </w:rPr>
              <w:t xml:space="preserve"> Tây đoạn Gia Nghĩa (Đắk Nông) -</w:t>
            </w:r>
            <w:r w:rsidRPr="00977C10">
              <w:rPr>
                <w:rFonts w:ascii="Times New Roman" w:eastAsia="Times New Roman" w:hAnsi="Times New Roman" w:cs="Times New Roman"/>
              </w:rPr>
              <w:t xml:space="preserve"> Chơn Thành (Bình Phước)</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138/2024/QH15 ngày 28 tháng 6 năm 2024</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right"/>
              <w:rPr>
                <w:rFonts w:ascii="Times New Roman" w:eastAsia="Times New Roman" w:hAnsi="Times New Roman" w:cs="Times New Roman"/>
              </w:rPr>
            </w:pPr>
            <w:r w:rsidRPr="00977C10">
              <w:rPr>
                <w:rFonts w:ascii="Times New Roman" w:eastAsia="Times New Roman" w:hAnsi="Times New Roman" w:cs="Times New Roman"/>
              </w:rPr>
              <w:t>22.106.000</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Ban Q</w:t>
            </w:r>
            <w:r w:rsidR="008C2027" w:rsidRPr="00977C10">
              <w:rPr>
                <w:rFonts w:ascii="Times New Roman" w:eastAsia="Times New Roman" w:hAnsi="Times New Roman" w:cs="Times New Roman"/>
              </w:rPr>
              <w:t>uản lý dự án đầu tư xây dựng thành phố</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V</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Danh mục một số dự án được giao nhiệm vụ tại Văn kiện Đại hội đại biểu đảng bộ  lần thứ I, nhiệm kỳ 2025</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2030</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FF4B27">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Cơ quan được cấp có thẩm quyền giao làm chủ đầu tư</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lastRenderedPageBreak/>
              <w:t>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đường ĐT 772 (Trảng Bom -</w:t>
            </w:r>
            <w:r w:rsidR="008C2027" w:rsidRPr="00977C10">
              <w:rPr>
                <w:rFonts w:ascii="Times New Roman" w:eastAsia="Times New Roman" w:hAnsi="Times New Roman" w:cs="Times New Roman"/>
              </w:rPr>
              <w:t xml:space="preserve"> Xuân Lộc)</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2</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t</w:t>
            </w:r>
            <w:r w:rsidR="008C2027" w:rsidRPr="00977C10">
              <w:rPr>
                <w:rFonts w:ascii="Times New Roman" w:eastAsia="Times New Roman" w:hAnsi="Times New Roman" w:cs="Times New Roman"/>
              </w:rPr>
              <w:t>uyến đường ven sông Đồng Nai (kết nối Vĩnh Cửu -</w:t>
            </w:r>
            <w:r w:rsidRPr="00977C10">
              <w:rPr>
                <w:rFonts w:ascii="Times New Roman" w:eastAsia="Times New Roman" w:hAnsi="Times New Roman" w:cs="Times New Roman"/>
              </w:rPr>
              <w:t xml:space="preserve"> </w:t>
            </w:r>
            <w:r w:rsidR="008C2027" w:rsidRPr="00977C10">
              <w:rPr>
                <w:rFonts w:ascii="Times New Roman" w:eastAsia="Times New Roman" w:hAnsi="Times New Roman" w:cs="Times New Roman"/>
              </w:rPr>
              <w:t>Biên Hòa - Long Thành - Nhơn Trạch)</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3</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xây dựng đường ĐT</w:t>
            </w:r>
            <w:r w:rsidR="0007210C" w:rsidRPr="00977C10">
              <w:rPr>
                <w:rFonts w:ascii="Times New Roman" w:eastAsia="Times New Roman" w:hAnsi="Times New Roman" w:cs="Times New Roman"/>
              </w:rPr>
              <w:t xml:space="preserve"> 771E (đoạn từ cao tốc Bến Lức -</w:t>
            </w:r>
            <w:r w:rsidRPr="00977C10">
              <w:rPr>
                <w:rFonts w:ascii="Times New Roman" w:eastAsia="Times New Roman" w:hAnsi="Times New Roman" w:cs="Times New Roman"/>
              </w:rPr>
              <w:t xml:space="preserve"> Long Thành đến đường vào KCN Ông Kèo)</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4</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nâng cấp, mở rộng ĐT.759</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5</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nâng cấp, mở rộng ĐT.760</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6</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ĐT.757 kết nối đô thị Bù Nho - An Lộc</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rPr>
            </w:pPr>
            <w:r w:rsidRPr="00977C10">
              <w:rPr>
                <w:rFonts w:ascii="Times New Roman" w:eastAsia="Times New Roman" w:hAnsi="Times New Roman" w:cs="Times New Roman"/>
              </w:rPr>
              <w:t>7</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10.1 Giao thông</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Dự án nâng cấp, mở rộng ĐT.754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VI</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07210C"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Các dự án</w:t>
            </w:r>
            <w:r w:rsidR="008C2027" w:rsidRPr="00977C10">
              <w:rPr>
                <w:rFonts w:ascii="Times New Roman" w:eastAsia="Times New Roman" w:hAnsi="Times New Roman" w:cs="Times New Roman"/>
                <w:b/>
                <w:bCs/>
              </w:rPr>
              <w:t xml:space="preserve"> xây dựng các khu Tái định cư sử dụng vốn đầu tư công thuộc Kế hoạch 118/KH-UBND ngày 03/10/2025 của UBND tỉnh Đồng Nai (nay là thành phố Đồng Nai)</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2.000.000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Cơ quan được cấp có thẩm quyền giao làm chủ đầu tư</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VII</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Bố trí cấp sau quyết toán giai đoạn 2026</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2030</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500.000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VIII</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Bố trí nhiệm vụ chuẩn bị đầu tư giai đoạn 2026</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2030 và giai đoạn 2031</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w:t>
            </w:r>
            <w:r w:rsidR="0007210C" w:rsidRPr="00977C10">
              <w:rPr>
                <w:rFonts w:ascii="Times New Roman" w:eastAsia="Times New Roman" w:hAnsi="Times New Roman" w:cs="Times New Roman"/>
                <w:b/>
                <w:bCs/>
              </w:rPr>
              <w:t xml:space="preserve"> </w:t>
            </w:r>
            <w:r w:rsidRPr="00977C10">
              <w:rPr>
                <w:rFonts w:ascii="Times New Roman" w:eastAsia="Times New Roman" w:hAnsi="Times New Roman" w:cs="Times New Roman"/>
                <w:b/>
                <w:bCs/>
              </w:rPr>
              <w:t>2035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500.000</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tr w:rsidR="00977C10" w:rsidRPr="00977C10" w:rsidTr="0007210C">
        <w:trPr>
          <w:trHeight w:val="20"/>
        </w:trPr>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center"/>
              <w:rPr>
                <w:rFonts w:ascii="Times New Roman" w:eastAsia="Times New Roman" w:hAnsi="Times New Roman" w:cs="Times New Roman"/>
                <w:b/>
                <w:bCs/>
              </w:rPr>
            </w:pPr>
            <w:r w:rsidRPr="00977C10">
              <w:rPr>
                <w:rFonts w:ascii="Times New Roman" w:eastAsia="Times New Roman" w:hAnsi="Times New Roman" w:cs="Times New Roman"/>
                <w:b/>
                <w:bCs/>
              </w:rPr>
              <w:t>IX</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1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b/>
                <w:bCs/>
              </w:rPr>
            </w:pPr>
            <w:r w:rsidRPr="00977C10">
              <w:rPr>
                <w:rFonts w:ascii="Times New Roman" w:eastAsia="Times New Roman" w:hAnsi="Times New Roman" w:cs="Times New Roman"/>
                <w:b/>
                <w:bCs/>
              </w:rPr>
              <w:t>Dự phòng bố trí cho các dự án quan trọng của thành phố (kể cả vốn điều lệ của quỹ nhà ở địa phương)</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center"/>
              <w:rPr>
                <w:rFonts w:ascii="Times New Roman" w:eastAsia="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rPr>
                <w:rFonts w:ascii="Times New Roman" w:eastAsia="Times New Roman" w:hAnsi="Times New Roman" w:cs="Times New Roman"/>
              </w:rPr>
            </w:pPr>
            <w:r w:rsidRPr="00977C10">
              <w:rPr>
                <w:rFonts w:ascii="Times New Roman" w:eastAsia="Times New Roman" w:hAnsi="Times New Roman" w:cs="Times New Roman"/>
              </w:rPr>
              <w:t> </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780214">
            <w:pPr>
              <w:spacing w:before="40" w:after="40" w:line="240" w:lineRule="auto"/>
              <w:jc w:val="right"/>
              <w:rPr>
                <w:rFonts w:ascii="Times New Roman" w:eastAsia="Times New Roman" w:hAnsi="Times New Roman" w:cs="Times New Roman"/>
                <w:b/>
                <w:bCs/>
              </w:rPr>
            </w:pPr>
            <w:r w:rsidRPr="00977C10">
              <w:rPr>
                <w:rFonts w:ascii="Times New Roman" w:eastAsia="Times New Roman" w:hAnsi="Times New Roman" w:cs="Times New Roman"/>
                <w:b/>
                <w:bCs/>
              </w:rPr>
              <w:t>8.001.174</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2027" w:rsidRPr="00977C10" w:rsidRDefault="008C2027" w:rsidP="00672505">
            <w:pPr>
              <w:spacing w:before="40" w:after="40" w:line="240" w:lineRule="auto"/>
              <w:jc w:val="both"/>
              <w:rPr>
                <w:rFonts w:ascii="Times New Roman" w:eastAsia="Times New Roman" w:hAnsi="Times New Roman" w:cs="Times New Roman"/>
              </w:rPr>
            </w:pPr>
            <w:r w:rsidRPr="00977C10">
              <w:rPr>
                <w:rFonts w:ascii="Times New Roman" w:eastAsia="Times New Roman" w:hAnsi="Times New Roman" w:cs="Times New Roman"/>
              </w:rPr>
              <w:t> </w:t>
            </w:r>
          </w:p>
        </w:tc>
      </w:tr>
      <w:bookmarkEnd w:id="1"/>
    </w:tbl>
    <w:p w:rsidR="00F56BC8" w:rsidRPr="008C2027" w:rsidRDefault="00F56BC8" w:rsidP="008C2027"/>
    <w:sectPr w:rsidR="00F56BC8" w:rsidRPr="008C2027" w:rsidSect="00D02FCD">
      <w:pgSz w:w="16840" w:h="11907" w:orient="landscape" w:code="9"/>
      <w:pgMar w:top="1134" w:right="1134"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quot;Times New Roman&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07210C"/>
    <w:rsid w:val="001630FC"/>
    <w:rsid w:val="001B1D30"/>
    <w:rsid w:val="004D16AF"/>
    <w:rsid w:val="005B2DE0"/>
    <w:rsid w:val="00672505"/>
    <w:rsid w:val="00714C45"/>
    <w:rsid w:val="00727669"/>
    <w:rsid w:val="00755BCF"/>
    <w:rsid w:val="00780214"/>
    <w:rsid w:val="008C2027"/>
    <w:rsid w:val="00960A1A"/>
    <w:rsid w:val="00977C10"/>
    <w:rsid w:val="00A1459C"/>
    <w:rsid w:val="00B70E19"/>
    <w:rsid w:val="00B73E63"/>
    <w:rsid w:val="00BE112A"/>
    <w:rsid w:val="00CE67E6"/>
    <w:rsid w:val="00D02FCD"/>
    <w:rsid w:val="00D236FB"/>
    <w:rsid w:val="00DA0C61"/>
    <w:rsid w:val="00F56BC8"/>
    <w:rsid w:val="00F613FF"/>
    <w:rsid w:val="00FD5582"/>
    <w:rsid w:val="00FF4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174">
      <w:bodyDiv w:val="1"/>
      <w:marLeft w:val="0"/>
      <w:marRight w:val="0"/>
      <w:marTop w:val="0"/>
      <w:marBottom w:val="0"/>
      <w:divBdr>
        <w:top w:val="none" w:sz="0" w:space="0" w:color="auto"/>
        <w:left w:val="none" w:sz="0" w:space="0" w:color="auto"/>
        <w:bottom w:val="none" w:sz="0" w:space="0" w:color="auto"/>
        <w:right w:val="none" w:sz="0" w:space="0" w:color="auto"/>
      </w:divBdr>
    </w:div>
    <w:div w:id="109012799">
      <w:bodyDiv w:val="1"/>
      <w:marLeft w:val="0"/>
      <w:marRight w:val="0"/>
      <w:marTop w:val="0"/>
      <w:marBottom w:val="0"/>
      <w:divBdr>
        <w:top w:val="none" w:sz="0" w:space="0" w:color="auto"/>
        <w:left w:val="none" w:sz="0" w:space="0" w:color="auto"/>
        <w:bottom w:val="none" w:sz="0" w:space="0" w:color="auto"/>
        <w:right w:val="none" w:sz="0" w:space="0" w:color="auto"/>
      </w:divBdr>
    </w:div>
    <w:div w:id="127171069">
      <w:bodyDiv w:val="1"/>
      <w:marLeft w:val="0"/>
      <w:marRight w:val="0"/>
      <w:marTop w:val="0"/>
      <w:marBottom w:val="0"/>
      <w:divBdr>
        <w:top w:val="none" w:sz="0" w:space="0" w:color="auto"/>
        <w:left w:val="none" w:sz="0" w:space="0" w:color="auto"/>
        <w:bottom w:val="none" w:sz="0" w:space="0" w:color="auto"/>
        <w:right w:val="none" w:sz="0" w:space="0" w:color="auto"/>
      </w:divBdr>
    </w:div>
    <w:div w:id="246689961">
      <w:bodyDiv w:val="1"/>
      <w:marLeft w:val="0"/>
      <w:marRight w:val="0"/>
      <w:marTop w:val="0"/>
      <w:marBottom w:val="0"/>
      <w:divBdr>
        <w:top w:val="none" w:sz="0" w:space="0" w:color="auto"/>
        <w:left w:val="none" w:sz="0" w:space="0" w:color="auto"/>
        <w:bottom w:val="none" w:sz="0" w:space="0" w:color="auto"/>
        <w:right w:val="none" w:sz="0" w:space="0" w:color="auto"/>
      </w:divBdr>
    </w:div>
    <w:div w:id="591622259">
      <w:bodyDiv w:val="1"/>
      <w:marLeft w:val="0"/>
      <w:marRight w:val="0"/>
      <w:marTop w:val="0"/>
      <w:marBottom w:val="0"/>
      <w:divBdr>
        <w:top w:val="none" w:sz="0" w:space="0" w:color="auto"/>
        <w:left w:val="none" w:sz="0" w:space="0" w:color="auto"/>
        <w:bottom w:val="none" w:sz="0" w:space="0" w:color="auto"/>
        <w:right w:val="none" w:sz="0" w:space="0" w:color="auto"/>
      </w:divBdr>
    </w:div>
    <w:div w:id="844397708">
      <w:bodyDiv w:val="1"/>
      <w:marLeft w:val="0"/>
      <w:marRight w:val="0"/>
      <w:marTop w:val="0"/>
      <w:marBottom w:val="0"/>
      <w:divBdr>
        <w:top w:val="none" w:sz="0" w:space="0" w:color="auto"/>
        <w:left w:val="none" w:sz="0" w:space="0" w:color="auto"/>
        <w:bottom w:val="none" w:sz="0" w:space="0" w:color="auto"/>
        <w:right w:val="none" w:sz="0" w:space="0" w:color="auto"/>
      </w:divBdr>
    </w:div>
    <w:div w:id="891506563">
      <w:bodyDiv w:val="1"/>
      <w:marLeft w:val="0"/>
      <w:marRight w:val="0"/>
      <w:marTop w:val="0"/>
      <w:marBottom w:val="0"/>
      <w:divBdr>
        <w:top w:val="none" w:sz="0" w:space="0" w:color="auto"/>
        <w:left w:val="none" w:sz="0" w:space="0" w:color="auto"/>
        <w:bottom w:val="none" w:sz="0" w:space="0" w:color="auto"/>
        <w:right w:val="none" w:sz="0" w:space="0" w:color="auto"/>
      </w:divBdr>
    </w:div>
    <w:div w:id="1280797265">
      <w:bodyDiv w:val="1"/>
      <w:marLeft w:val="0"/>
      <w:marRight w:val="0"/>
      <w:marTop w:val="0"/>
      <w:marBottom w:val="0"/>
      <w:divBdr>
        <w:top w:val="none" w:sz="0" w:space="0" w:color="auto"/>
        <w:left w:val="none" w:sz="0" w:space="0" w:color="auto"/>
        <w:bottom w:val="none" w:sz="0" w:space="0" w:color="auto"/>
        <w:right w:val="none" w:sz="0" w:space="0" w:color="auto"/>
      </w:divBdr>
    </w:div>
    <w:div w:id="1341001909">
      <w:bodyDiv w:val="1"/>
      <w:marLeft w:val="0"/>
      <w:marRight w:val="0"/>
      <w:marTop w:val="0"/>
      <w:marBottom w:val="0"/>
      <w:divBdr>
        <w:top w:val="none" w:sz="0" w:space="0" w:color="auto"/>
        <w:left w:val="none" w:sz="0" w:space="0" w:color="auto"/>
        <w:bottom w:val="none" w:sz="0" w:space="0" w:color="auto"/>
        <w:right w:val="none" w:sz="0" w:space="0" w:color="auto"/>
      </w:divBdr>
    </w:div>
    <w:div w:id="1611015144">
      <w:bodyDiv w:val="1"/>
      <w:marLeft w:val="0"/>
      <w:marRight w:val="0"/>
      <w:marTop w:val="0"/>
      <w:marBottom w:val="0"/>
      <w:divBdr>
        <w:top w:val="none" w:sz="0" w:space="0" w:color="auto"/>
        <w:left w:val="none" w:sz="0" w:space="0" w:color="auto"/>
        <w:bottom w:val="none" w:sz="0" w:space="0" w:color="auto"/>
        <w:right w:val="none" w:sz="0" w:space="0" w:color="auto"/>
      </w:divBdr>
    </w:div>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12</cp:revision>
  <dcterms:created xsi:type="dcterms:W3CDTF">2026-07-27T04:05:00Z</dcterms:created>
  <dcterms:modified xsi:type="dcterms:W3CDTF">2026-08-20T01:22:00Z</dcterms:modified>
</cp:coreProperties>
</file>