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50" w:type="pct"/>
        <w:tblInd w:w="80" w:type="dxa"/>
        <w:tblLayout w:type="fixed"/>
        <w:tblLook w:val="04A0" w:firstRow="1" w:lastRow="0" w:firstColumn="1" w:lastColumn="0" w:noHBand="0" w:noVBand="1"/>
      </w:tblPr>
      <w:tblGrid>
        <w:gridCol w:w="586"/>
        <w:gridCol w:w="2424"/>
        <w:gridCol w:w="961"/>
        <w:gridCol w:w="567"/>
        <w:gridCol w:w="2154"/>
        <w:gridCol w:w="916"/>
        <w:gridCol w:w="916"/>
        <w:gridCol w:w="722"/>
        <w:gridCol w:w="841"/>
        <w:gridCol w:w="737"/>
        <w:gridCol w:w="722"/>
        <w:gridCol w:w="925"/>
        <w:gridCol w:w="841"/>
        <w:gridCol w:w="722"/>
        <w:gridCol w:w="886"/>
      </w:tblGrid>
      <w:tr w:rsidR="009E5C47" w:rsidRPr="009E5C47" w:rsidTr="002850C4">
        <w:trPr>
          <w:trHeight w:val="20"/>
        </w:trPr>
        <w:tc>
          <w:tcPr>
            <w:tcW w:w="196"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812" w:type="pct"/>
            <w:tcBorders>
              <w:top w:val="nil"/>
              <w:left w:val="nil"/>
              <w:bottom w:val="nil"/>
              <w:right w:val="nil"/>
            </w:tcBorders>
            <w:shd w:val="clear" w:color="auto" w:fill="auto"/>
            <w:noWrap/>
            <w:hideMark/>
          </w:tcPr>
          <w:p w:rsidR="002850C4" w:rsidRPr="009E5C47" w:rsidRDefault="002850C4" w:rsidP="000730BD">
            <w:pPr>
              <w:spacing w:after="0" w:line="240" w:lineRule="auto"/>
              <w:jc w:val="center"/>
              <w:outlineLvl w:val="0"/>
              <w:rPr>
                <w:rFonts w:ascii="Times New Roman" w:eastAsia="Times New Roman" w:hAnsi="Times New Roman" w:cs="Times New Roman"/>
                <w:sz w:val="28"/>
                <w:szCs w:val="28"/>
              </w:rPr>
            </w:pPr>
          </w:p>
        </w:tc>
        <w:tc>
          <w:tcPr>
            <w:tcW w:w="322"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190"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722" w:type="pct"/>
            <w:tcBorders>
              <w:top w:val="nil"/>
              <w:left w:val="nil"/>
              <w:bottom w:val="nil"/>
              <w:right w:val="nil"/>
            </w:tcBorders>
            <w:shd w:val="clear" w:color="auto" w:fill="auto"/>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307"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307"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242"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282"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247"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242"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310"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282" w:type="pct"/>
            <w:tcBorders>
              <w:top w:val="nil"/>
              <w:left w:val="nil"/>
              <w:bottom w:val="nil"/>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28"/>
                <w:szCs w:val="28"/>
              </w:rPr>
            </w:pPr>
          </w:p>
        </w:tc>
        <w:tc>
          <w:tcPr>
            <w:tcW w:w="539" w:type="pct"/>
            <w:gridSpan w:val="2"/>
            <w:tcBorders>
              <w:top w:val="nil"/>
              <w:left w:val="nil"/>
              <w:bottom w:val="nil"/>
              <w:right w:val="nil"/>
            </w:tcBorders>
            <w:shd w:val="clear" w:color="auto" w:fill="auto"/>
            <w:noWrap/>
            <w:vAlign w:val="center"/>
            <w:hideMark/>
          </w:tcPr>
          <w:p w:rsidR="002850C4" w:rsidRDefault="002850C4" w:rsidP="000730BD">
            <w:pPr>
              <w:spacing w:after="0" w:line="240" w:lineRule="auto"/>
              <w:jc w:val="right"/>
              <w:outlineLvl w:val="0"/>
              <w:rPr>
                <w:rFonts w:ascii="Times New Roman" w:eastAsia="Times New Roman" w:hAnsi="Times New Roman" w:cs="Times New Roman"/>
                <w:b/>
                <w:bCs/>
                <w:sz w:val="28"/>
                <w:szCs w:val="28"/>
              </w:rPr>
            </w:pPr>
            <w:r w:rsidRPr="009E5C47">
              <w:rPr>
                <w:rFonts w:ascii="Times New Roman" w:eastAsia="Times New Roman" w:hAnsi="Times New Roman" w:cs="Times New Roman"/>
                <w:b/>
                <w:bCs/>
                <w:sz w:val="28"/>
                <w:szCs w:val="28"/>
              </w:rPr>
              <w:t>Phụ lục 03</w:t>
            </w:r>
          </w:p>
          <w:p w:rsidR="00C27865" w:rsidRPr="00C27865" w:rsidRDefault="00C27865" w:rsidP="000730BD">
            <w:pPr>
              <w:spacing w:after="0" w:line="240" w:lineRule="auto"/>
              <w:jc w:val="right"/>
              <w:outlineLvl w:val="0"/>
              <w:rPr>
                <w:rFonts w:ascii="Times New Roman" w:eastAsia="Times New Roman" w:hAnsi="Times New Roman" w:cs="Times New Roman"/>
                <w:b/>
                <w:bCs/>
                <w:sz w:val="18"/>
                <w:szCs w:val="28"/>
              </w:rPr>
            </w:pPr>
            <w:bookmarkStart w:id="0" w:name="_GoBack"/>
            <w:bookmarkEnd w:id="0"/>
          </w:p>
        </w:tc>
      </w:tr>
      <w:tr w:rsidR="009E5C47" w:rsidRPr="009E5C47" w:rsidTr="002850C4">
        <w:trPr>
          <w:trHeight w:val="690"/>
        </w:trPr>
        <w:tc>
          <w:tcPr>
            <w:tcW w:w="5000" w:type="pct"/>
            <w:gridSpan w:val="15"/>
            <w:tcBorders>
              <w:top w:val="nil"/>
              <w:left w:val="nil"/>
              <w:right w:val="nil"/>
            </w:tcBorders>
            <w:shd w:val="clear" w:color="auto" w:fill="auto"/>
            <w:noWrap/>
            <w:hideMark/>
          </w:tcPr>
          <w:p w:rsidR="002850C4" w:rsidRPr="009E5C47" w:rsidRDefault="002850C4" w:rsidP="002850C4">
            <w:pPr>
              <w:spacing w:after="0" w:line="240" w:lineRule="auto"/>
              <w:jc w:val="center"/>
              <w:outlineLvl w:val="0"/>
              <w:rPr>
                <w:rFonts w:ascii="Times New Roman" w:eastAsia="Times New Roman" w:hAnsi="Times New Roman" w:cs="Times New Roman"/>
                <w:b/>
                <w:bCs/>
                <w:sz w:val="28"/>
                <w:szCs w:val="28"/>
              </w:rPr>
            </w:pPr>
            <w:r w:rsidRPr="009E5C47">
              <w:rPr>
                <w:rFonts w:ascii="Times New Roman" w:eastAsia="Times New Roman" w:hAnsi="Times New Roman" w:cs="Times New Roman"/>
                <w:b/>
                <w:bCs/>
                <w:sz w:val="28"/>
                <w:szCs w:val="28"/>
              </w:rPr>
              <w:t>ĐIỀU CHỈNH, PHÂN BỔ DỰ TOÁN CHI NGÂN SÁCH ĐỊA PHƯƠNG NĂM 2026 (ĐỢT 1)</w:t>
            </w:r>
          </w:p>
          <w:p w:rsidR="002850C4" w:rsidRPr="009E5C47" w:rsidRDefault="002850C4" w:rsidP="002850C4">
            <w:pPr>
              <w:spacing w:after="0" w:line="240" w:lineRule="auto"/>
              <w:jc w:val="center"/>
              <w:outlineLvl w:val="0"/>
              <w:rPr>
                <w:rFonts w:ascii="Times New Roman" w:eastAsia="Times New Roman" w:hAnsi="Times New Roman" w:cs="Times New Roman"/>
                <w:i/>
                <w:iCs/>
                <w:sz w:val="28"/>
                <w:szCs w:val="28"/>
              </w:rPr>
            </w:pPr>
            <w:r w:rsidRPr="009E5C47">
              <w:rPr>
                <w:rFonts w:ascii="Times New Roman" w:eastAsia="Times New Roman" w:hAnsi="Times New Roman" w:cs="Times New Roman"/>
                <w:i/>
                <w:iCs/>
                <w:sz w:val="28"/>
                <w:szCs w:val="28"/>
              </w:rPr>
              <w:t>(Kèm Nghị quyết số 20/NQ-HĐND ngày 09 tháng 7 năm 2026 của Hội đồng nhân dân thành phố</w:t>
            </w:r>
            <w:r w:rsidR="00531204" w:rsidRPr="009E5C47">
              <w:rPr>
                <w:rFonts w:ascii="Times New Roman" w:eastAsia="Times New Roman" w:hAnsi="Times New Roman" w:cs="Times New Roman"/>
                <w:i/>
                <w:iCs/>
                <w:sz w:val="28"/>
                <w:szCs w:val="28"/>
              </w:rPr>
              <w:t>)</w:t>
            </w:r>
          </w:p>
          <w:p w:rsidR="002850C4" w:rsidRPr="009E5C47" w:rsidRDefault="002850C4" w:rsidP="002850C4">
            <w:pPr>
              <w:spacing w:after="0" w:line="240" w:lineRule="auto"/>
              <w:jc w:val="center"/>
              <w:outlineLvl w:val="0"/>
              <w:rPr>
                <w:rFonts w:ascii="Times New Roman" w:eastAsia="Times New Roman" w:hAnsi="Times New Roman" w:cs="Times New Roman"/>
                <w:b/>
                <w:bCs/>
                <w:sz w:val="28"/>
                <w:szCs w:val="28"/>
              </w:rPr>
            </w:pPr>
          </w:p>
        </w:tc>
      </w:tr>
      <w:tr w:rsidR="009E5C47" w:rsidRPr="009E5C47" w:rsidTr="002850C4">
        <w:trPr>
          <w:trHeight w:val="20"/>
        </w:trPr>
        <w:tc>
          <w:tcPr>
            <w:tcW w:w="196"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812" w:type="pct"/>
            <w:tcBorders>
              <w:top w:val="nil"/>
              <w:left w:val="nil"/>
              <w:bottom w:val="single" w:sz="4" w:space="0" w:color="auto"/>
              <w:right w:val="nil"/>
            </w:tcBorders>
            <w:shd w:val="clear" w:color="auto" w:fill="auto"/>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322"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190"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722" w:type="pct"/>
            <w:tcBorders>
              <w:top w:val="nil"/>
              <w:left w:val="nil"/>
              <w:bottom w:val="single" w:sz="4" w:space="0" w:color="auto"/>
              <w:right w:val="nil"/>
            </w:tcBorders>
            <w:shd w:val="clear" w:color="auto" w:fill="auto"/>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307"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307"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242"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282"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247"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242"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310"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282" w:type="pct"/>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outlineLvl w:val="0"/>
              <w:rPr>
                <w:rFonts w:ascii="Times New Roman" w:eastAsia="Times New Roman" w:hAnsi="Times New Roman" w:cs="Times New Roman"/>
                <w:sz w:val="18"/>
                <w:szCs w:val="18"/>
              </w:rPr>
            </w:pPr>
          </w:p>
        </w:tc>
        <w:tc>
          <w:tcPr>
            <w:tcW w:w="539" w:type="pct"/>
            <w:gridSpan w:val="2"/>
            <w:tcBorders>
              <w:top w:val="nil"/>
              <w:left w:val="nil"/>
              <w:bottom w:val="single" w:sz="4" w:space="0" w:color="auto"/>
              <w:right w:val="nil"/>
            </w:tcBorders>
            <w:shd w:val="clear" w:color="auto" w:fill="auto"/>
            <w:noWrap/>
            <w:vAlign w:val="center"/>
            <w:hideMark/>
          </w:tcPr>
          <w:p w:rsidR="002850C4" w:rsidRPr="009E5C47" w:rsidRDefault="002850C4" w:rsidP="000730BD">
            <w:pPr>
              <w:spacing w:after="0" w:line="240" w:lineRule="auto"/>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ĐVT: triệu đồng</w:t>
            </w:r>
          </w:p>
        </w:tc>
      </w:tr>
      <w:tr w:rsidR="009E5C47" w:rsidRPr="009E5C47" w:rsidTr="002850C4">
        <w:trPr>
          <w:trHeight w:val="20"/>
        </w:trPr>
        <w:tc>
          <w:tcPr>
            <w:tcW w:w="1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STT</w:t>
            </w:r>
          </w:p>
        </w:tc>
        <w:tc>
          <w:tcPr>
            <w:tcW w:w="8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Nội dung</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Số tiền</w:t>
            </w:r>
          </w:p>
        </w:tc>
        <w:tc>
          <w:tcPr>
            <w:tcW w:w="1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STT</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Nội dung</w:t>
            </w:r>
          </w:p>
        </w:tc>
        <w:tc>
          <w:tcPr>
            <w:tcW w:w="30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Số tiền</w:t>
            </w:r>
          </w:p>
        </w:tc>
        <w:tc>
          <w:tcPr>
            <w:tcW w:w="1630" w:type="pct"/>
            <w:gridSpan w:val="6"/>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Cấp tỉnh</w:t>
            </w:r>
          </w:p>
        </w:tc>
        <w:tc>
          <w:tcPr>
            <w:tcW w:w="821" w:type="pct"/>
            <w:gridSpan w:val="3"/>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Cấp xã</w:t>
            </w:r>
          </w:p>
        </w:tc>
      </w:tr>
      <w:tr w:rsidR="009E5C47" w:rsidRPr="009E5C47" w:rsidTr="002850C4">
        <w:trPr>
          <w:trHeight w:val="20"/>
        </w:trPr>
        <w:tc>
          <w:tcPr>
            <w:tcW w:w="196"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812"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722"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307" w:type="pct"/>
            <w:vMerge/>
            <w:tcBorders>
              <w:top w:val="single" w:sz="4" w:space="0" w:color="auto"/>
              <w:left w:val="single" w:sz="4" w:space="0" w:color="auto"/>
              <w:bottom w:val="single" w:sz="4" w:space="0" w:color="auto"/>
              <w:right w:val="single" w:sz="4" w:space="0" w:color="auto"/>
            </w:tcBorders>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Tổng</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Đầu tư</w:t>
            </w:r>
          </w:p>
        </w:tc>
        <w:tc>
          <w:tcPr>
            <w:tcW w:w="28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Thường xuyên</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Chuyển giao</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Dự phòng</w:t>
            </w:r>
          </w:p>
        </w:tc>
        <w:tc>
          <w:tcPr>
            <w:tcW w:w="310"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Khác</w:t>
            </w:r>
          </w:p>
        </w:tc>
        <w:tc>
          <w:tcPr>
            <w:tcW w:w="28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Tổng</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Đầu tư</w:t>
            </w:r>
          </w:p>
        </w:tc>
        <w:tc>
          <w:tcPr>
            <w:tcW w:w="297"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Thường xuyên</w:t>
            </w:r>
          </w:p>
        </w:tc>
      </w:tr>
      <w:tr w:rsidR="009E5C47" w:rsidRPr="009E5C47" w:rsidTr="002850C4">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Tổng nguồn ngân sách</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19.988.846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Tổng dự toán phân bổ</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19.988.846</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15.990.496</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802.606</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2.594.088</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541.659</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316.000</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11.736.143</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3.998.350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248.968</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3.749.382</w:t>
            </w: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A</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chi (đã giao tại Nghị quyết Nghị quyết số 50/NQ-HĐND ngày 10/12/2025)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2.503.834</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Tổng cộng</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19.988.846</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15.990.496</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802.606</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2.594.088</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541.659</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316.000</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11.736.143</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3.998.350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248.968</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3.749.382</w:t>
            </w: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dự toán chi đầu tư ngân sách cấp tỉnh</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249.598</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Phân bổ nhiệm vụ chi</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Đầu tư từ nguồn thu xổ số kiến thiết</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203.167</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Trong đó, phân bổ nguồn xổ số kiến thiết cho khối xã</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0</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248.968</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Nguồn điều chỉnh giảm dự toán nguồn vốn đầu tư từ ngân sách trung ương bổ sung có mục tiêu do mức vốn được Thủ tướng Chính phủ giao tại Quyết định số 2661/QĐ-TTg ngày 05/12/2025 thấp hơn mức dự toán đã được HĐND thành phố giao đầu năm tại Nghị quyết số 50/NQ-HĐND ngày 10/12/2025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46.431</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Phân bổ nhiệm vụ chi</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19.739.878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15.990.496</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802.606</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2.594.088</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541.659</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316.000</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11.736.143</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3.749.382</w:t>
            </w: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3.749.382</w:t>
            </w: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dự toán chi thường xuyên ngân sách cấp tỉnh</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2.254.236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a</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dự toán chưa phân bổ được giao tại các lĩnh vực chi theo Nghị quyết số 50/NQ-HĐND ngày 10/12/2025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1.095.832</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Chi giáo dục - đào tạo và dạy nghề</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472.950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lastRenderedPageBreak/>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Chi khoa học công nghệ</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75.916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D22A88">
            <w:pPr>
              <w:spacing w:before="60" w:after="6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Chi sự nghiệp y tế-dân số</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20.000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Chi sự nghiệp kinh tế</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228.560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Chi Quản lý hành chính nhà nước - Đảng - Đoàn thể</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298.406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b</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thu hồi dự toán các đơn vị đã giao tại Nghị quyết số 50/NQ-HĐND ngày 10/12/2025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1.158.404</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Thu hồi dự toán sự nghiệp kinh tế</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2.276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Thu hồi dự toán chi quản lý nhà nước, đoàn thể</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289</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Thu hồi dự toán sự nghiệp đảm bảo xã hội</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615.756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Thu hồi dự toán sự nghiệp y tế</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540.083</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outlineLvl w:val="0"/>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outlineLvl w:val="0"/>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B</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Nguồn thu NSĐP giao tăng thêm (chi tiết PL 01)</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17.485.012</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Thu bổ sung từ ngân sách trung ương</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261.356</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2</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Thu chuyển nguồn</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4.900.053</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xml:space="preserve"> - Nguồn tăng thu</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3.203.344</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xml:space="preserve"> - Nguồn dự toán chi còn lại</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1.573.000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xml:space="preserve"> - Nguồn lương</w:t>
            </w:r>
          </w:p>
        </w:tc>
        <w:tc>
          <w:tcPr>
            <w:tcW w:w="3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123.709</w:t>
            </w:r>
          </w:p>
        </w:tc>
        <w:tc>
          <w:tcPr>
            <w:tcW w:w="1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rPr>
                <w:rFonts w:ascii="Times New Roman" w:eastAsia="Times New Roman" w:hAnsi="Times New Roman" w:cs="Times New Roman"/>
                <w:sz w:val="18"/>
                <w:szCs w:val="18"/>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3</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Thu kết dư</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12.323.603</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2850C4">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xml:space="preserve"> - Nguồn xổ số kiến thiết</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598.561</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2850C4">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xml:space="preserve"> - Nguồn thu tiền sử dụng đất</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11.025.585</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thu tiền phát triển đất trồng lúa</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315.645</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thu tiền bán nhà ở sở hữu nhà nước</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23.200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thu huy động nhân dân đóng góp</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53.082</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thu 20% nhà ở xã hội</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52.115</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đầu tư</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6.415</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lastRenderedPageBreak/>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đầu tư - nộp trả NSTW theo kiến nghị kiểm toán ngân sách năm 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238.520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thường xuyên - nộp trả NSTW theo kiến nghị kiểm toán ngân sách năm 2025</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3.139</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D22A88">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D22A88">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Nguồn thường xuyên</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7.341</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both"/>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r w:rsidR="009E5C47" w:rsidRPr="009E5C47" w:rsidTr="002850C4">
        <w:trPr>
          <w:trHeight w:val="20"/>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jc w:val="center"/>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Cân đối điều chỉnh</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b/>
                <w:bCs/>
                <w:sz w:val="18"/>
                <w:szCs w:val="18"/>
              </w:rPr>
            </w:pPr>
            <w:r w:rsidRPr="009E5C47">
              <w:rPr>
                <w:rFonts w:ascii="Times New Roman" w:eastAsia="Times New Roman" w:hAnsi="Times New Roman" w:cs="Times New Roman"/>
                <w:b/>
                <w:bCs/>
                <w:sz w:val="18"/>
                <w:szCs w:val="18"/>
              </w:rPr>
              <w:t>0</w:t>
            </w:r>
          </w:p>
        </w:tc>
        <w:tc>
          <w:tcPr>
            <w:tcW w:w="19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rsidR="000730BD" w:rsidRPr="009E5C47" w:rsidRDefault="000730BD" w:rsidP="002850C4">
            <w:pPr>
              <w:spacing w:before="40" w:after="40" w:line="240" w:lineRule="auto"/>
              <w:rPr>
                <w:rFonts w:ascii="Times New Roman" w:eastAsia="Times New Roman" w:hAnsi="Times New Roman" w:cs="Times New Roman"/>
                <w:sz w:val="18"/>
                <w:szCs w:val="18"/>
              </w:rPr>
            </w:pPr>
            <w:r w:rsidRPr="009E5C47">
              <w:rPr>
                <w:rFonts w:ascii="Times New Roman" w:eastAsia="Times New Roman" w:hAnsi="Times New Roman" w:cs="Times New Roman"/>
                <w:sz w:val="18"/>
                <w:szCs w:val="18"/>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42"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rsidR="000730BD" w:rsidRPr="009E5C47" w:rsidRDefault="000730BD" w:rsidP="002850C4">
            <w:pPr>
              <w:spacing w:before="40" w:after="40" w:line="240" w:lineRule="auto"/>
              <w:ind w:left="-57" w:right="-57"/>
              <w:jc w:val="right"/>
              <w:rPr>
                <w:rFonts w:ascii="Times New Roman" w:eastAsia="Times New Roman" w:hAnsi="Times New Roman" w:cs="Times New Roman"/>
                <w:sz w:val="18"/>
                <w:szCs w:val="18"/>
              </w:rPr>
            </w:pPr>
          </w:p>
        </w:tc>
      </w:tr>
    </w:tbl>
    <w:p w:rsidR="00F56BC8" w:rsidRPr="000730BD" w:rsidRDefault="00F56BC8" w:rsidP="000730BD"/>
    <w:sectPr w:rsidR="00F56BC8" w:rsidRPr="000730BD"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quot;Times New Roman&quo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730BD"/>
    <w:rsid w:val="001B1D30"/>
    <w:rsid w:val="002850C4"/>
    <w:rsid w:val="004702EF"/>
    <w:rsid w:val="004D16AF"/>
    <w:rsid w:val="00531204"/>
    <w:rsid w:val="00714C45"/>
    <w:rsid w:val="00727669"/>
    <w:rsid w:val="00755BCF"/>
    <w:rsid w:val="00960A1A"/>
    <w:rsid w:val="009E5C47"/>
    <w:rsid w:val="00A1459C"/>
    <w:rsid w:val="00B70E19"/>
    <w:rsid w:val="00B73E63"/>
    <w:rsid w:val="00BE112A"/>
    <w:rsid w:val="00C27865"/>
    <w:rsid w:val="00D02FCD"/>
    <w:rsid w:val="00D22A88"/>
    <w:rsid w:val="00D236FB"/>
    <w:rsid w:val="00DA0C61"/>
    <w:rsid w:val="00DA2BEC"/>
    <w:rsid w:val="00F56BC8"/>
    <w:rsid w:val="00F6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174">
      <w:bodyDiv w:val="1"/>
      <w:marLeft w:val="0"/>
      <w:marRight w:val="0"/>
      <w:marTop w:val="0"/>
      <w:marBottom w:val="0"/>
      <w:divBdr>
        <w:top w:val="none" w:sz="0" w:space="0" w:color="auto"/>
        <w:left w:val="none" w:sz="0" w:space="0" w:color="auto"/>
        <w:bottom w:val="none" w:sz="0" w:space="0" w:color="auto"/>
        <w:right w:val="none" w:sz="0" w:space="0" w:color="auto"/>
      </w:divBdr>
    </w:div>
    <w:div w:id="105469189">
      <w:bodyDiv w:val="1"/>
      <w:marLeft w:val="0"/>
      <w:marRight w:val="0"/>
      <w:marTop w:val="0"/>
      <w:marBottom w:val="0"/>
      <w:divBdr>
        <w:top w:val="none" w:sz="0" w:space="0" w:color="auto"/>
        <w:left w:val="none" w:sz="0" w:space="0" w:color="auto"/>
        <w:bottom w:val="none" w:sz="0" w:space="0" w:color="auto"/>
        <w:right w:val="none" w:sz="0" w:space="0" w:color="auto"/>
      </w:divBdr>
    </w:div>
    <w:div w:id="109012799">
      <w:bodyDiv w:val="1"/>
      <w:marLeft w:val="0"/>
      <w:marRight w:val="0"/>
      <w:marTop w:val="0"/>
      <w:marBottom w:val="0"/>
      <w:divBdr>
        <w:top w:val="none" w:sz="0" w:space="0" w:color="auto"/>
        <w:left w:val="none" w:sz="0" w:space="0" w:color="auto"/>
        <w:bottom w:val="none" w:sz="0" w:space="0" w:color="auto"/>
        <w:right w:val="none" w:sz="0" w:space="0" w:color="auto"/>
      </w:divBdr>
    </w:div>
    <w:div w:id="246689961">
      <w:bodyDiv w:val="1"/>
      <w:marLeft w:val="0"/>
      <w:marRight w:val="0"/>
      <w:marTop w:val="0"/>
      <w:marBottom w:val="0"/>
      <w:divBdr>
        <w:top w:val="none" w:sz="0" w:space="0" w:color="auto"/>
        <w:left w:val="none" w:sz="0" w:space="0" w:color="auto"/>
        <w:bottom w:val="none" w:sz="0" w:space="0" w:color="auto"/>
        <w:right w:val="none" w:sz="0" w:space="0" w:color="auto"/>
      </w:divBdr>
    </w:div>
    <w:div w:id="591622259">
      <w:bodyDiv w:val="1"/>
      <w:marLeft w:val="0"/>
      <w:marRight w:val="0"/>
      <w:marTop w:val="0"/>
      <w:marBottom w:val="0"/>
      <w:divBdr>
        <w:top w:val="none" w:sz="0" w:space="0" w:color="auto"/>
        <w:left w:val="none" w:sz="0" w:space="0" w:color="auto"/>
        <w:bottom w:val="none" w:sz="0" w:space="0" w:color="auto"/>
        <w:right w:val="none" w:sz="0" w:space="0" w:color="auto"/>
      </w:divBdr>
    </w:div>
    <w:div w:id="705370598">
      <w:bodyDiv w:val="1"/>
      <w:marLeft w:val="0"/>
      <w:marRight w:val="0"/>
      <w:marTop w:val="0"/>
      <w:marBottom w:val="0"/>
      <w:divBdr>
        <w:top w:val="none" w:sz="0" w:space="0" w:color="auto"/>
        <w:left w:val="none" w:sz="0" w:space="0" w:color="auto"/>
        <w:bottom w:val="none" w:sz="0" w:space="0" w:color="auto"/>
        <w:right w:val="none" w:sz="0" w:space="0" w:color="auto"/>
      </w:divBdr>
    </w:div>
    <w:div w:id="844397708">
      <w:bodyDiv w:val="1"/>
      <w:marLeft w:val="0"/>
      <w:marRight w:val="0"/>
      <w:marTop w:val="0"/>
      <w:marBottom w:val="0"/>
      <w:divBdr>
        <w:top w:val="none" w:sz="0" w:space="0" w:color="auto"/>
        <w:left w:val="none" w:sz="0" w:space="0" w:color="auto"/>
        <w:bottom w:val="none" w:sz="0" w:space="0" w:color="auto"/>
        <w:right w:val="none" w:sz="0" w:space="0" w:color="auto"/>
      </w:divBdr>
    </w:div>
    <w:div w:id="891506563">
      <w:bodyDiv w:val="1"/>
      <w:marLeft w:val="0"/>
      <w:marRight w:val="0"/>
      <w:marTop w:val="0"/>
      <w:marBottom w:val="0"/>
      <w:divBdr>
        <w:top w:val="none" w:sz="0" w:space="0" w:color="auto"/>
        <w:left w:val="none" w:sz="0" w:space="0" w:color="auto"/>
        <w:bottom w:val="none" w:sz="0" w:space="0" w:color="auto"/>
        <w:right w:val="none" w:sz="0" w:space="0" w:color="auto"/>
      </w:divBdr>
    </w:div>
    <w:div w:id="1280797265">
      <w:bodyDiv w:val="1"/>
      <w:marLeft w:val="0"/>
      <w:marRight w:val="0"/>
      <w:marTop w:val="0"/>
      <w:marBottom w:val="0"/>
      <w:divBdr>
        <w:top w:val="none" w:sz="0" w:space="0" w:color="auto"/>
        <w:left w:val="none" w:sz="0" w:space="0" w:color="auto"/>
        <w:bottom w:val="none" w:sz="0" w:space="0" w:color="auto"/>
        <w:right w:val="none" w:sz="0" w:space="0" w:color="auto"/>
      </w:divBdr>
    </w:div>
    <w:div w:id="1341001909">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86DEA-0CD0-46A2-BF14-B8FE30AD4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12</cp:revision>
  <dcterms:created xsi:type="dcterms:W3CDTF">2026-07-27T13:47:00Z</dcterms:created>
  <dcterms:modified xsi:type="dcterms:W3CDTF">2026-08-23T14:13:00Z</dcterms:modified>
</cp:coreProperties>
</file>