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483B0" w14:textId="58A5EB9A" w:rsidR="002B5666" w:rsidRPr="00B22B5C" w:rsidRDefault="00A92034" w:rsidP="00B22B5C">
      <w:pPr>
        <w:spacing w:after="0" w:line="240" w:lineRule="auto"/>
        <w:jc w:val="center"/>
        <w:rPr>
          <w:rFonts w:ascii="Times New Roman" w:hAnsi="Times New Roman" w:cs="Times New Roman"/>
          <w:b/>
          <w:sz w:val="28"/>
          <w:szCs w:val="28"/>
        </w:rPr>
      </w:pPr>
      <w:r w:rsidRPr="00B22B5C">
        <w:rPr>
          <w:rFonts w:ascii="Times New Roman" w:hAnsi="Times New Roman" w:cs="Times New Roman"/>
          <w:b/>
          <w:sz w:val="28"/>
          <w:szCs w:val="28"/>
        </w:rPr>
        <w:t>Phụ lục</w:t>
      </w:r>
      <w:r w:rsidR="00023528" w:rsidRPr="00B22B5C">
        <w:rPr>
          <w:rFonts w:ascii="Times New Roman" w:hAnsi="Times New Roman" w:cs="Times New Roman"/>
          <w:b/>
          <w:sz w:val="28"/>
          <w:szCs w:val="28"/>
        </w:rPr>
        <w:t xml:space="preserve"> </w:t>
      </w:r>
      <w:r w:rsidR="00D17D4F" w:rsidRPr="00B22B5C">
        <w:rPr>
          <w:rFonts w:ascii="Times New Roman" w:hAnsi="Times New Roman" w:cs="Times New Roman"/>
          <w:b/>
          <w:sz w:val="28"/>
          <w:szCs w:val="28"/>
        </w:rPr>
        <w:t>I</w:t>
      </w:r>
      <w:r w:rsidR="003C24DA" w:rsidRPr="00B22B5C">
        <w:rPr>
          <w:rFonts w:ascii="Times New Roman" w:hAnsi="Times New Roman" w:cs="Times New Roman"/>
          <w:b/>
          <w:sz w:val="28"/>
          <w:szCs w:val="28"/>
        </w:rPr>
        <w:t>II</w:t>
      </w:r>
    </w:p>
    <w:p w14:paraId="641CB041" w14:textId="77777777" w:rsidR="00A92034" w:rsidRPr="00B22B5C" w:rsidRDefault="00A92034" w:rsidP="00B22B5C">
      <w:pPr>
        <w:spacing w:after="0" w:line="240" w:lineRule="auto"/>
        <w:jc w:val="center"/>
        <w:rPr>
          <w:rFonts w:ascii="Times New Roman" w:hAnsi="Times New Roman" w:cs="Times New Roman"/>
          <w:b/>
          <w:sz w:val="28"/>
          <w:szCs w:val="28"/>
        </w:rPr>
      </w:pPr>
      <w:r w:rsidRPr="00B22B5C">
        <w:rPr>
          <w:rFonts w:ascii="Times New Roman" w:hAnsi="Times New Roman" w:cs="Times New Roman"/>
          <w:b/>
          <w:sz w:val="28"/>
          <w:szCs w:val="28"/>
        </w:rPr>
        <w:t>ĐỀ XUẤT MỘT SỐ NỘI DUNG, NHIỆM VỤ ỦY BAN NHÂN DÂN TỈNH ĐẨY MẠNH PHÂN CẤP CHO CÁC CƠ QUAN CHUYÊN MÔN, CƠ QUAN KHÁC THUỘC ỦY BAN NHÂN DÂN TỈNH</w:t>
      </w:r>
    </w:p>
    <w:p w14:paraId="02A044DB" w14:textId="77777777" w:rsidR="00B22B5C" w:rsidRDefault="00023528" w:rsidP="00B22B5C">
      <w:pPr>
        <w:spacing w:after="0" w:line="240" w:lineRule="auto"/>
        <w:jc w:val="center"/>
        <w:rPr>
          <w:rFonts w:ascii="Times New Roman" w:hAnsi="Times New Roman" w:cs="Times New Roman"/>
          <w:i/>
          <w:sz w:val="28"/>
          <w:szCs w:val="28"/>
        </w:rPr>
      </w:pPr>
      <w:r w:rsidRPr="00B22B5C">
        <w:rPr>
          <w:rFonts w:ascii="Times New Roman" w:hAnsi="Times New Roman" w:cs="Times New Roman"/>
          <w:i/>
          <w:sz w:val="28"/>
          <w:szCs w:val="28"/>
        </w:rPr>
        <w:t>(Ban hành kèm theo Đề án số</w:t>
      </w:r>
      <w:r w:rsidR="00EC2E75" w:rsidRPr="00B22B5C">
        <w:rPr>
          <w:rFonts w:ascii="Times New Roman" w:hAnsi="Times New Roman" w:cs="Times New Roman"/>
          <w:i/>
          <w:sz w:val="28"/>
          <w:szCs w:val="28"/>
        </w:rPr>
        <w:t xml:space="preserve"> 7831</w:t>
      </w:r>
      <w:r w:rsidRPr="00B22B5C">
        <w:rPr>
          <w:rFonts w:ascii="Times New Roman" w:hAnsi="Times New Roman" w:cs="Times New Roman"/>
          <w:i/>
          <w:sz w:val="28"/>
          <w:szCs w:val="28"/>
        </w:rPr>
        <w:t xml:space="preserve">/ĐA-UBND </w:t>
      </w:r>
    </w:p>
    <w:p w14:paraId="6AB0DF92" w14:textId="418A6387" w:rsidR="00023528" w:rsidRDefault="00023528" w:rsidP="00B22B5C">
      <w:pPr>
        <w:spacing w:after="0" w:line="240" w:lineRule="auto"/>
        <w:jc w:val="center"/>
        <w:rPr>
          <w:rFonts w:ascii="Times New Roman" w:hAnsi="Times New Roman" w:cs="Times New Roman"/>
          <w:i/>
          <w:sz w:val="28"/>
          <w:szCs w:val="28"/>
        </w:rPr>
      </w:pPr>
      <w:r w:rsidRPr="00B22B5C">
        <w:rPr>
          <w:rFonts w:ascii="Times New Roman" w:hAnsi="Times New Roman" w:cs="Times New Roman"/>
          <w:i/>
          <w:sz w:val="28"/>
          <w:szCs w:val="28"/>
        </w:rPr>
        <w:t>ngà</w:t>
      </w:r>
      <w:r w:rsidR="006E77BB" w:rsidRPr="00B22B5C">
        <w:rPr>
          <w:rFonts w:ascii="Times New Roman" w:hAnsi="Times New Roman" w:cs="Times New Roman"/>
          <w:i/>
          <w:sz w:val="28"/>
          <w:szCs w:val="28"/>
        </w:rPr>
        <w:t>y</w:t>
      </w:r>
      <w:r w:rsidR="00EC2E75" w:rsidRPr="00B22B5C">
        <w:rPr>
          <w:rFonts w:ascii="Times New Roman" w:hAnsi="Times New Roman" w:cs="Times New Roman"/>
          <w:i/>
          <w:sz w:val="28"/>
          <w:szCs w:val="28"/>
        </w:rPr>
        <w:t xml:space="preserve"> 05</w:t>
      </w:r>
      <w:r w:rsidR="006E77BB" w:rsidRPr="00B22B5C">
        <w:rPr>
          <w:rFonts w:ascii="Times New Roman" w:hAnsi="Times New Roman" w:cs="Times New Roman"/>
          <w:i/>
          <w:sz w:val="28"/>
          <w:szCs w:val="28"/>
        </w:rPr>
        <w:t>/</w:t>
      </w:r>
      <w:r w:rsidR="000C57B5" w:rsidRPr="00B22B5C">
        <w:rPr>
          <w:rFonts w:ascii="Times New Roman" w:hAnsi="Times New Roman" w:cs="Times New Roman"/>
          <w:i/>
          <w:sz w:val="28"/>
          <w:szCs w:val="28"/>
        </w:rPr>
        <w:t>7</w:t>
      </w:r>
      <w:r w:rsidRPr="00B22B5C">
        <w:rPr>
          <w:rFonts w:ascii="Times New Roman" w:hAnsi="Times New Roman" w:cs="Times New Roman"/>
          <w:i/>
          <w:sz w:val="28"/>
          <w:szCs w:val="28"/>
        </w:rPr>
        <w:t>/202</w:t>
      </w:r>
      <w:r w:rsidR="00A014A6" w:rsidRPr="00B22B5C">
        <w:rPr>
          <w:rFonts w:ascii="Times New Roman" w:hAnsi="Times New Roman" w:cs="Times New Roman"/>
          <w:i/>
          <w:sz w:val="28"/>
          <w:szCs w:val="28"/>
        </w:rPr>
        <w:t>4</w:t>
      </w:r>
      <w:r w:rsidRPr="00B22B5C">
        <w:rPr>
          <w:rFonts w:ascii="Times New Roman" w:hAnsi="Times New Roman" w:cs="Times New Roman"/>
          <w:i/>
          <w:sz w:val="28"/>
          <w:szCs w:val="28"/>
        </w:rPr>
        <w:t xml:space="preserve"> của</w:t>
      </w:r>
      <w:r w:rsidR="00B22B5C">
        <w:rPr>
          <w:rFonts w:ascii="Times New Roman" w:hAnsi="Times New Roman" w:cs="Times New Roman"/>
          <w:i/>
          <w:sz w:val="28"/>
          <w:szCs w:val="28"/>
        </w:rPr>
        <w:t xml:space="preserve"> </w:t>
      </w:r>
      <w:r w:rsidR="0049091D" w:rsidRPr="00B22B5C">
        <w:rPr>
          <w:rFonts w:ascii="Times New Roman" w:hAnsi="Times New Roman" w:cs="Times New Roman"/>
          <w:i/>
          <w:sz w:val="28"/>
          <w:szCs w:val="28"/>
        </w:rPr>
        <w:t>Ủy ban nhân dân</w:t>
      </w:r>
      <w:r w:rsidRPr="00B22B5C">
        <w:rPr>
          <w:rFonts w:ascii="Times New Roman" w:hAnsi="Times New Roman" w:cs="Times New Roman"/>
          <w:i/>
          <w:sz w:val="28"/>
          <w:szCs w:val="28"/>
        </w:rPr>
        <w:t xml:space="preserve"> tỉnh Đồng Nai)</w:t>
      </w:r>
    </w:p>
    <w:p w14:paraId="5543E9AC" w14:textId="49A35CE9" w:rsidR="00B22B5C" w:rsidRPr="00B22B5C" w:rsidRDefault="00B22B5C" w:rsidP="00B22B5C">
      <w:pPr>
        <w:spacing w:after="0" w:line="240" w:lineRule="auto"/>
        <w:jc w:val="center"/>
        <w:rPr>
          <w:rFonts w:ascii="Times New Roman" w:hAnsi="Times New Roman" w:cs="Times New Roman"/>
          <w:i/>
          <w:sz w:val="28"/>
          <w:szCs w:val="28"/>
        </w:rPr>
      </w:pPr>
      <w:r w:rsidRPr="00B22B5C">
        <w:rPr>
          <w:rFonts w:ascii="Times New Roman" w:hAnsi="Times New Roman" w:cs="Times New Roman"/>
          <w:i/>
          <w:noProof/>
          <w:sz w:val="28"/>
          <w:szCs w:val="28"/>
        </w:rPr>
        <mc:AlternateContent>
          <mc:Choice Requires="wps">
            <w:drawing>
              <wp:anchor distT="0" distB="0" distL="114300" distR="114300" simplePos="0" relativeHeight="251658240" behindDoc="0" locked="0" layoutInCell="1" allowOverlap="1" wp14:anchorId="32D5B643" wp14:editId="410F4A40">
                <wp:simplePos x="0" y="0"/>
                <wp:positionH relativeFrom="column">
                  <wp:posOffset>2472995</wp:posOffset>
                </wp:positionH>
                <wp:positionV relativeFrom="paragraph">
                  <wp:posOffset>33020</wp:posOffset>
                </wp:positionV>
                <wp:extent cx="1153160" cy="8255"/>
                <wp:effectExtent l="0" t="0" r="27940" b="298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316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94.7pt;margin-top:2.6pt;width:90.8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"/>
            </w:pict>
          </mc:Fallback>
        </mc:AlternateContent>
      </w:r>
    </w:p>
    <w:p w14:paraId="1E7DCF7D" w14:textId="77777777" w:rsidR="00023528" w:rsidRPr="00B22B5C" w:rsidRDefault="00023528" w:rsidP="00B22B5C">
      <w:pPr>
        <w:spacing w:after="0" w:line="240" w:lineRule="auto"/>
        <w:jc w:val="center"/>
        <w:rPr>
          <w:rFonts w:ascii="Times New Roman" w:hAnsi="Times New Roman" w:cs="Times New Roman"/>
          <w:sz w:val="28"/>
          <w:szCs w:val="28"/>
        </w:rPr>
      </w:pPr>
    </w:p>
    <w:tbl>
      <w:tblPr>
        <w:tblStyle w:val="TableGrid"/>
        <w:tblW w:w="9639" w:type="dxa"/>
        <w:tblInd w:w="108" w:type="dxa"/>
        <w:tblLook w:val="04A0" w:firstRow="1" w:lastRow="0" w:firstColumn="1" w:lastColumn="0" w:noHBand="0" w:noVBand="1"/>
      </w:tblPr>
      <w:tblGrid>
        <w:gridCol w:w="708"/>
        <w:gridCol w:w="6330"/>
        <w:gridCol w:w="2601"/>
      </w:tblGrid>
      <w:tr w:rsidR="00721A94" w:rsidRPr="00B22B5C" w14:paraId="79868356" w14:textId="77777777" w:rsidTr="0066023A">
        <w:tc>
          <w:tcPr>
            <w:tcW w:w="708" w:type="dxa"/>
            <w:vAlign w:val="center"/>
          </w:tcPr>
          <w:p w14:paraId="5EB09CAB" w14:textId="204253E5" w:rsidR="00721A94" w:rsidRPr="00B22B5C" w:rsidRDefault="00626AFA"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STT</w:t>
            </w:r>
          </w:p>
        </w:tc>
        <w:tc>
          <w:tcPr>
            <w:tcW w:w="6330" w:type="dxa"/>
            <w:vAlign w:val="center"/>
          </w:tcPr>
          <w:p w14:paraId="387729A2" w14:textId="77777777" w:rsidR="00721A94" w:rsidRPr="00B22B5C" w:rsidRDefault="00721A94"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Nội dung, nhiệm vụ phân cấp</w:t>
            </w:r>
          </w:p>
        </w:tc>
        <w:tc>
          <w:tcPr>
            <w:tcW w:w="2601" w:type="dxa"/>
            <w:vAlign w:val="center"/>
          </w:tcPr>
          <w:p w14:paraId="5E6C3DAA" w14:textId="77777777" w:rsidR="00721A94" w:rsidRPr="00B22B5C" w:rsidRDefault="00721A94"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Đơn vị được phân cấp</w:t>
            </w:r>
          </w:p>
        </w:tc>
      </w:tr>
      <w:tr w:rsidR="00721A94" w:rsidRPr="00B22B5C" w14:paraId="62A35A5F" w14:textId="77777777" w:rsidTr="0066023A">
        <w:tc>
          <w:tcPr>
            <w:tcW w:w="708" w:type="dxa"/>
            <w:vAlign w:val="center"/>
          </w:tcPr>
          <w:p w14:paraId="61288FD9" w14:textId="2FCEE86C" w:rsidR="00721A94" w:rsidRPr="00B22B5C" w:rsidRDefault="00721A94"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I</w:t>
            </w:r>
          </w:p>
        </w:tc>
        <w:tc>
          <w:tcPr>
            <w:tcW w:w="8931" w:type="dxa"/>
            <w:gridSpan w:val="2"/>
            <w:vAlign w:val="center"/>
          </w:tcPr>
          <w:p w14:paraId="7C2CED95" w14:textId="4EC5E0B7" w:rsidR="00721A94" w:rsidRPr="00B22B5C" w:rsidRDefault="00721A94" w:rsidP="0066023A">
            <w:pPr>
              <w:spacing w:before="40" w:after="40"/>
              <w:jc w:val="both"/>
              <w:rPr>
                <w:rFonts w:ascii="Times New Roman" w:hAnsi="Times New Roman" w:cs="Times New Roman"/>
                <w:b/>
                <w:sz w:val="26"/>
                <w:szCs w:val="26"/>
              </w:rPr>
            </w:pPr>
            <w:r w:rsidRPr="00B22B5C">
              <w:rPr>
                <w:rFonts w:ascii="Times New Roman" w:hAnsi="Times New Roman" w:cs="Times New Roman"/>
                <w:b/>
                <w:sz w:val="26"/>
                <w:szCs w:val="26"/>
              </w:rPr>
              <w:t>Ngành lĩnh vực Nội vụ</w:t>
            </w:r>
          </w:p>
        </w:tc>
      </w:tr>
      <w:tr w:rsidR="00721A94" w:rsidRPr="00B22B5C" w14:paraId="52BDA776" w14:textId="0B38B3D4" w:rsidTr="0066023A">
        <w:tc>
          <w:tcPr>
            <w:tcW w:w="708" w:type="dxa"/>
            <w:vAlign w:val="center"/>
          </w:tcPr>
          <w:p w14:paraId="08BFCCAB"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1</w:t>
            </w:r>
          </w:p>
        </w:tc>
        <w:tc>
          <w:tcPr>
            <w:tcW w:w="6330" w:type="dxa"/>
            <w:vAlign w:val="center"/>
          </w:tcPr>
          <w:p w14:paraId="411B634F" w14:textId="26C1F68B" w:rsidR="00721A94" w:rsidRPr="00B22B5C" w:rsidRDefault="00721A94" w:rsidP="0066023A">
            <w:pPr>
              <w:tabs>
                <w:tab w:val="left" w:pos="363"/>
              </w:tabs>
              <w:spacing w:before="40" w:after="40"/>
              <w:jc w:val="both"/>
              <w:rPr>
                <w:rFonts w:ascii="Times New Roman" w:hAnsi="Times New Roman" w:cs="Times New Roman"/>
                <w:sz w:val="26"/>
                <w:szCs w:val="26"/>
              </w:rPr>
            </w:pPr>
            <w:r w:rsidRPr="00B22B5C">
              <w:rPr>
                <w:rFonts w:ascii="Times New Roman" w:hAnsi="Times New Roman" w:cs="Times New Roman"/>
                <w:sz w:val="26"/>
                <w:szCs w:val="26"/>
              </w:rPr>
              <w:t>Phân cấp cho các cơ quan chuyên môn thuộc Ủy ban nhân dân tỉnh thực hiện quản lý tổ chức bộ máy</w:t>
            </w:r>
            <w:r w:rsidR="003541A3" w:rsidRPr="00B22B5C">
              <w:rPr>
                <w:rFonts w:ascii="Times New Roman" w:hAnsi="Times New Roman" w:cs="Times New Roman"/>
                <w:sz w:val="26"/>
                <w:szCs w:val="26"/>
              </w:rPr>
              <w:t>.</w:t>
            </w:r>
          </w:p>
        </w:tc>
        <w:tc>
          <w:tcPr>
            <w:tcW w:w="2601" w:type="dxa"/>
            <w:vAlign w:val="center"/>
          </w:tcPr>
          <w:p w14:paraId="19579573" w14:textId="7DB1ED63" w:rsidR="00721A94" w:rsidRPr="00B22B5C" w:rsidRDefault="00721A94" w:rsidP="0066023A">
            <w:pPr>
              <w:tabs>
                <w:tab w:val="left" w:pos="363"/>
              </w:tabs>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Các cơ quan chuyên môn, cơ quan khác thuộc Ủy ban nhân dân tỉnh</w:t>
            </w:r>
          </w:p>
        </w:tc>
      </w:tr>
      <w:tr w:rsidR="00721A94" w:rsidRPr="00B22B5C" w14:paraId="2A370118" w14:textId="500D108D" w:rsidTr="0066023A">
        <w:tc>
          <w:tcPr>
            <w:tcW w:w="708" w:type="dxa"/>
            <w:vAlign w:val="center"/>
          </w:tcPr>
          <w:p w14:paraId="50CE4AEF"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2</w:t>
            </w:r>
          </w:p>
        </w:tc>
        <w:tc>
          <w:tcPr>
            <w:tcW w:w="6330" w:type="dxa"/>
            <w:vAlign w:val="center"/>
          </w:tcPr>
          <w:p w14:paraId="151D9056" w14:textId="7A1C0058"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Phân cấp cho các cơ quan chuyên môn thuộc Ủy ban nhân dân tỉnh thực hiện quản lý vị trí việc làm</w:t>
            </w:r>
            <w:r w:rsidR="003541A3" w:rsidRPr="00B22B5C">
              <w:rPr>
                <w:rFonts w:ascii="Times New Roman" w:hAnsi="Times New Roman" w:cs="Times New Roman"/>
                <w:sz w:val="26"/>
                <w:szCs w:val="26"/>
              </w:rPr>
              <w:t>.</w:t>
            </w:r>
          </w:p>
        </w:tc>
        <w:tc>
          <w:tcPr>
            <w:tcW w:w="2601" w:type="dxa"/>
            <w:vAlign w:val="center"/>
          </w:tcPr>
          <w:p w14:paraId="2040DEC5" w14:textId="2675BD00"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Các cơ quan chuyên môn, cơ quan khác thuộc Ủy ban nhân dân tỉnh</w:t>
            </w:r>
          </w:p>
        </w:tc>
      </w:tr>
      <w:tr w:rsidR="00721A94" w:rsidRPr="00B22B5C" w14:paraId="6015C491" w14:textId="73AEF478" w:rsidTr="0066023A">
        <w:tc>
          <w:tcPr>
            <w:tcW w:w="708" w:type="dxa"/>
            <w:vAlign w:val="center"/>
          </w:tcPr>
          <w:p w14:paraId="1B31C4FF"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3</w:t>
            </w:r>
          </w:p>
        </w:tc>
        <w:tc>
          <w:tcPr>
            <w:tcW w:w="6330" w:type="dxa"/>
            <w:vAlign w:val="center"/>
          </w:tcPr>
          <w:p w14:paraId="5F5F24DB" w14:textId="1F46259C"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Thẩm quyền biệt phái viên chức về các cơ quan hành chính cấp tỉnh</w:t>
            </w:r>
            <w:r w:rsidR="003541A3" w:rsidRPr="00B22B5C">
              <w:rPr>
                <w:rFonts w:ascii="Times New Roman" w:hAnsi="Times New Roman" w:cs="Times New Roman"/>
                <w:sz w:val="26"/>
                <w:szCs w:val="26"/>
              </w:rPr>
              <w:t>.</w:t>
            </w:r>
          </w:p>
        </w:tc>
        <w:tc>
          <w:tcPr>
            <w:tcW w:w="2601" w:type="dxa"/>
            <w:vAlign w:val="center"/>
          </w:tcPr>
          <w:p w14:paraId="19E595AF" w14:textId="1948AAF3"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Sở Nội vụ</w:t>
            </w:r>
          </w:p>
        </w:tc>
      </w:tr>
      <w:tr w:rsidR="00721A94" w:rsidRPr="00B22B5C" w14:paraId="20C54696" w14:textId="17AC183E" w:rsidTr="0066023A">
        <w:tc>
          <w:tcPr>
            <w:tcW w:w="708" w:type="dxa"/>
            <w:vAlign w:val="center"/>
          </w:tcPr>
          <w:p w14:paraId="3E22D4CE"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4</w:t>
            </w:r>
          </w:p>
        </w:tc>
        <w:tc>
          <w:tcPr>
            <w:tcW w:w="6330" w:type="dxa"/>
            <w:vAlign w:val="center"/>
          </w:tcPr>
          <w:p w14:paraId="594AAC6A" w14:textId="611D8C0A"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Thẩm quyền điều động công chức ra khỏi phạm vi quản lý của Chủ tịch Ủy ban nhân dân cấp huyện</w:t>
            </w:r>
            <w:r w:rsidR="003541A3" w:rsidRPr="00B22B5C">
              <w:rPr>
                <w:rFonts w:ascii="Times New Roman" w:hAnsi="Times New Roman" w:cs="Times New Roman"/>
                <w:sz w:val="26"/>
                <w:szCs w:val="26"/>
              </w:rPr>
              <w:t>.</w:t>
            </w:r>
          </w:p>
        </w:tc>
        <w:tc>
          <w:tcPr>
            <w:tcW w:w="2601" w:type="dxa"/>
            <w:vAlign w:val="center"/>
          </w:tcPr>
          <w:p w14:paraId="402AC8CE" w14:textId="2B658DA0"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Sở Nội vụ</w:t>
            </w:r>
          </w:p>
        </w:tc>
      </w:tr>
      <w:tr w:rsidR="00721A94" w:rsidRPr="00B22B5C" w14:paraId="2F2DF476" w14:textId="77777777" w:rsidTr="0066023A">
        <w:tc>
          <w:tcPr>
            <w:tcW w:w="708" w:type="dxa"/>
            <w:vAlign w:val="center"/>
          </w:tcPr>
          <w:p w14:paraId="6C968807" w14:textId="01FE298D" w:rsidR="00721A94" w:rsidRPr="00B22B5C" w:rsidRDefault="00721A94"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II</w:t>
            </w:r>
          </w:p>
        </w:tc>
        <w:tc>
          <w:tcPr>
            <w:tcW w:w="8931" w:type="dxa"/>
            <w:gridSpan w:val="2"/>
            <w:vAlign w:val="center"/>
          </w:tcPr>
          <w:p w14:paraId="622E8EED" w14:textId="370DF67E" w:rsidR="00721A94" w:rsidRPr="00B22B5C" w:rsidRDefault="00721A94" w:rsidP="0066023A">
            <w:pPr>
              <w:spacing w:before="40" w:after="40"/>
              <w:jc w:val="both"/>
              <w:rPr>
                <w:rFonts w:ascii="Times New Roman" w:hAnsi="Times New Roman" w:cs="Times New Roman"/>
                <w:b/>
                <w:bCs/>
                <w:sz w:val="26"/>
                <w:szCs w:val="26"/>
              </w:rPr>
            </w:pPr>
            <w:r w:rsidRPr="00B22B5C">
              <w:rPr>
                <w:rFonts w:ascii="Times New Roman" w:hAnsi="Times New Roman" w:cs="Times New Roman"/>
                <w:b/>
                <w:bCs/>
                <w:sz w:val="26"/>
                <w:szCs w:val="26"/>
              </w:rPr>
              <w:t>Ngành lĩnh vực Tư pháp</w:t>
            </w:r>
          </w:p>
        </w:tc>
      </w:tr>
      <w:tr w:rsidR="00721A94" w:rsidRPr="00B22B5C" w14:paraId="470238BA" w14:textId="77777777" w:rsidTr="0066023A">
        <w:tc>
          <w:tcPr>
            <w:tcW w:w="708" w:type="dxa"/>
            <w:vAlign w:val="center"/>
          </w:tcPr>
          <w:p w14:paraId="23E3E8AB" w14:textId="3B47020D" w:rsidR="00721A94" w:rsidRPr="00B22B5C" w:rsidRDefault="00721A94"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1</w:t>
            </w:r>
          </w:p>
        </w:tc>
        <w:tc>
          <w:tcPr>
            <w:tcW w:w="6330" w:type="dxa"/>
            <w:vAlign w:val="center"/>
          </w:tcPr>
          <w:p w14:paraId="7961AF13" w14:textId="548265BA"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
                <w:sz w:val="26"/>
                <w:szCs w:val="26"/>
              </w:rPr>
              <w:t>Lĩnh vực công chứng</w:t>
            </w:r>
          </w:p>
        </w:tc>
        <w:tc>
          <w:tcPr>
            <w:tcW w:w="2601" w:type="dxa"/>
            <w:vAlign w:val="center"/>
          </w:tcPr>
          <w:p w14:paraId="33866CA1" w14:textId="77777777" w:rsidR="00721A94" w:rsidRPr="00B22B5C" w:rsidRDefault="00721A94" w:rsidP="0066023A">
            <w:pPr>
              <w:spacing w:before="40" w:after="40"/>
              <w:jc w:val="both"/>
              <w:rPr>
                <w:rFonts w:ascii="Times New Roman" w:hAnsi="Times New Roman" w:cs="Times New Roman"/>
                <w:bCs/>
                <w:sz w:val="26"/>
                <w:szCs w:val="26"/>
              </w:rPr>
            </w:pPr>
          </w:p>
        </w:tc>
      </w:tr>
      <w:tr w:rsidR="00721A94" w:rsidRPr="00B22B5C" w14:paraId="51E1C37E" w14:textId="276CDEE5" w:rsidTr="0066023A">
        <w:tc>
          <w:tcPr>
            <w:tcW w:w="708" w:type="dxa"/>
            <w:vAlign w:val="center"/>
          </w:tcPr>
          <w:p w14:paraId="40F9C973"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1.2</w:t>
            </w:r>
          </w:p>
        </w:tc>
        <w:tc>
          <w:tcPr>
            <w:tcW w:w="6330" w:type="dxa"/>
            <w:vAlign w:val="center"/>
          </w:tcPr>
          <w:p w14:paraId="49B2227C" w14:textId="45924894"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Thành lập, hợp nhất, sáp nhập, chuyển nhượng Văn phòng công chứng</w:t>
            </w:r>
            <w:r w:rsidR="003541A3" w:rsidRPr="00B22B5C">
              <w:rPr>
                <w:rFonts w:ascii="Times New Roman" w:hAnsi="Times New Roman" w:cs="Times New Roman"/>
                <w:sz w:val="26"/>
                <w:szCs w:val="26"/>
              </w:rPr>
              <w:t>.</w:t>
            </w:r>
          </w:p>
        </w:tc>
        <w:tc>
          <w:tcPr>
            <w:tcW w:w="2601" w:type="dxa"/>
            <w:vAlign w:val="center"/>
          </w:tcPr>
          <w:p w14:paraId="16AFB310" w14:textId="69659F0B"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721A94" w:rsidRPr="00B22B5C" w14:paraId="1E29F170" w14:textId="6D75254E" w:rsidTr="0066023A">
        <w:tc>
          <w:tcPr>
            <w:tcW w:w="708" w:type="dxa"/>
            <w:vAlign w:val="center"/>
          </w:tcPr>
          <w:p w14:paraId="5D158772"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1.3</w:t>
            </w:r>
          </w:p>
        </w:tc>
        <w:tc>
          <w:tcPr>
            <w:tcW w:w="6330" w:type="dxa"/>
            <w:vAlign w:val="center"/>
          </w:tcPr>
          <w:p w14:paraId="1DFA15FB" w14:textId="17F733A7"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Thu hồi quyết định cho phép thành lập Văn phòng công chứng</w:t>
            </w:r>
            <w:r w:rsidR="003541A3" w:rsidRPr="00B22B5C">
              <w:rPr>
                <w:rFonts w:ascii="Times New Roman" w:hAnsi="Times New Roman" w:cs="Times New Roman"/>
                <w:sz w:val="26"/>
                <w:szCs w:val="26"/>
              </w:rPr>
              <w:t>.</w:t>
            </w:r>
          </w:p>
        </w:tc>
        <w:tc>
          <w:tcPr>
            <w:tcW w:w="2601" w:type="dxa"/>
            <w:vAlign w:val="center"/>
          </w:tcPr>
          <w:p w14:paraId="42251FE4" w14:textId="7A935258"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721A94" w:rsidRPr="00B22B5C" w14:paraId="42310B4B" w14:textId="25453FBA" w:rsidTr="0066023A">
        <w:tc>
          <w:tcPr>
            <w:tcW w:w="708" w:type="dxa"/>
            <w:vAlign w:val="center"/>
          </w:tcPr>
          <w:p w14:paraId="4A201274"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1.4</w:t>
            </w:r>
          </w:p>
        </w:tc>
        <w:tc>
          <w:tcPr>
            <w:tcW w:w="6330" w:type="dxa"/>
            <w:vAlign w:val="center"/>
          </w:tcPr>
          <w:p w14:paraId="4B70D1E5" w14:textId="01855800"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Quyết định thành lập Phòng công chứng, quyết định việc giải thể hoặc chuyển đổi Phòng công chứng</w:t>
            </w:r>
            <w:r w:rsidR="003541A3" w:rsidRPr="00B22B5C">
              <w:rPr>
                <w:rFonts w:ascii="Times New Roman" w:hAnsi="Times New Roman" w:cs="Times New Roman"/>
                <w:sz w:val="26"/>
                <w:szCs w:val="26"/>
              </w:rPr>
              <w:t>.</w:t>
            </w:r>
          </w:p>
        </w:tc>
        <w:tc>
          <w:tcPr>
            <w:tcW w:w="2601" w:type="dxa"/>
            <w:vAlign w:val="center"/>
          </w:tcPr>
          <w:p w14:paraId="6CAA8A80" w14:textId="00CAE2A6"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721A94" w:rsidRPr="00B22B5C" w14:paraId="053F738F" w14:textId="77777777" w:rsidTr="0066023A">
        <w:tc>
          <w:tcPr>
            <w:tcW w:w="708" w:type="dxa"/>
            <w:vAlign w:val="center"/>
          </w:tcPr>
          <w:p w14:paraId="517F1644" w14:textId="6E40DC5C" w:rsidR="00721A94" w:rsidRPr="00B22B5C" w:rsidRDefault="00721A94"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2</w:t>
            </w:r>
          </w:p>
        </w:tc>
        <w:tc>
          <w:tcPr>
            <w:tcW w:w="8931" w:type="dxa"/>
            <w:gridSpan w:val="2"/>
            <w:vAlign w:val="center"/>
          </w:tcPr>
          <w:p w14:paraId="1B722699" w14:textId="206DA03D" w:rsidR="00721A94" w:rsidRPr="00B22B5C" w:rsidRDefault="00721A94" w:rsidP="0066023A">
            <w:pPr>
              <w:spacing w:before="40" w:after="40"/>
              <w:jc w:val="both"/>
              <w:rPr>
                <w:rFonts w:ascii="Times New Roman" w:hAnsi="Times New Roman" w:cs="Times New Roman"/>
                <w:bCs/>
                <w:sz w:val="26"/>
                <w:szCs w:val="26"/>
              </w:rPr>
            </w:pPr>
            <w:r w:rsidRPr="00B22B5C">
              <w:rPr>
                <w:rFonts w:ascii="Times New Roman" w:hAnsi="Times New Roman" w:cs="Times New Roman"/>
                <w:b/>
                <w:sz w:val="26"/>
                <w:szCs w:val="26"/>
              </w:rPr>
              <w:t>Lĩnh vực Thừa phát lại</w:t>
            </w:r>
          </w:p>
        </w:tc>
      </w:tr>
      <w:tr w:rsidR="00721A94" w:rsidRPr="00B22B5C" w14:paraId="29D756B7" w14:textId="02035111" w:rsidTr="0066023A">
        <w:tc>
          <w:tcPr>
            <w:tcW w:w="708" w:type="dxa"/>
            <w:vAlign w:val="center"/>
          </w:tcPr>
          <w:p w14:paraId="4948005F"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2.1</w:t>
            </w:r>
          </w:p>
        </w:tc>
        <w:tc>
          <w:tcPr>
            <w:tcW w:w="6330" w:type="dxa"/>
            <w:vAlign w:val="center"/>
          </w:tcPr>
          <w:p w14:paraId="6A43105B" w14:textId="738DB2AB"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Thành lập, chuyển đổi loại hình, hợp nhất, sáp nhập, chuyển nhượng Văn phòng Thừa phát lại</w:t>
            </w:r>
            <w:r w:rsidR="003541A3" w:rsidRPr="00B22B5C">
              <w:rPr>
                <w:rFonts w:ascii="Times New Roman" w:hAnsi="Times New Roman" w:cs="Times New Roman"/>
                <w:sz w:val="26"/>
                <w:szCs w:val="26"/>
              </w:rPr>
              <w:t>.</w:t>
            </w:r>
          </w:p>
        </w:tc>
        <w:tc>
          <w:tcPr>
            <w:tcW w:w="2601" w:type="dxa"/>
            <w:vAlign w:val="center"/>
          </w:tcPr>
          <w:p w14:paraId="5449981F" w14:textId="0265A458"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721A94" w:rsidRPr="00B22B5C" w14:paraId="351476A8" w14:textId="265DB7C8" w:rsidTr="0066023A">
        <w:tc>
          <w:tcPr>
            <w:tcW w:w="708" w:type="dxa"/>
            <w:vAlign w:val="center"/>
          </w:tcPr>
          <w:p w14:paraId="45267449"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2.2</w:t>
            </w:r>
          </w:p>
        </w:tc>
        <w:tc>
          <w:tcPr>
            <w:tcW w:w="6330" w:type="dxa"/>
            <w:vAlign w:val="center"/>
          </w:tcPr>
          <w:p w14:paraId="6F47EB22" w14:textId="1E0C2C95"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Chấm dứt hoạt động của Văn phòng Thừa phát lại</w:t>
            </w:r>
            <w:r w:rsidR="003541A3" w:rsidRPr="00B22B5C">
              <w:rPr>
                <w:rFonts w:ascii="Times New Roman" w:hAnsi="Times New Roman" w:cs="Times New Roman"/>
                <w:sz w:val="26"/>
                <w:szCs w:val="26"/>
              </w:rPr>
              <w:t>.</w:t>
            </w:r>
          </w:p>
        </w:tc>
        <w:tc>
          <w:tcPr>
            <w:tcW w:w="2601" w:type="dxa"/>
            <w:vAlign w:val="center"/>
          </w:tcPr>
          <w:p w14:paraId="746027F4" w14:textId="105E73A1"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721A94" w:rsidRPr="00B22B5C" w14:paraId="55B728FB" w14:textId="27E9B39A" w:rsidTr="0066023A">
        <w:tc>
          <w:tcPr>
            <w:tcW w:w="708" w:type="dxa"/>
            <w:vAlign w:val="center"/>
          </w:tcPr>
          <w:p w14:paraId="6D18D5E2"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2.3</w:t>
            </w:r>
          </w:p>
        </w:tc>
        <w:tc>
          <w:tcPr>
            <w:tcW w:w="6330" w:type="dxa"/>
            <w:vAlign w:val="center"/>
          </w:tcPr>
          <w:p w14:paraId="6CD22A8C" w14:textId="541702B4"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Thu hồi quyết định cho phép thành lập Văn phòng Thừa phát lại</w:t>
            </w:r>
            <w:r w:rsidR="003541A3" w:rsidRPr="00B22B5C">
              <w:rPr>
                <w:rFonts w:ascii="Times New Roman" w:hAnsi="Times New Roman" w:cs="Times New Roman"/>
                <w:sz w:val="26"/>
                <w:szCs w:val="26"/>
              </w:rPr>
              <w:t>.</w:t>
            </w:r>
          </w:p>
        </w:tc>
        <w:tc>
          <w:tcPr>
            <w:tcW w:w="2601" w:type="dxa"/>
            <w:vAlign w:val="center"/>
          </w:tcPr>
          <w:p w14:paraId="4B9BED71" w14:textId="1286942F"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0C57B5" w:rsidRPr="00B22B5C" w14:paraId="1B94CA67" w14:textId="77777777" w:rsidTr="0066023A">
        <w:tc>
          <w:tcPr>
            <w:tcW w:w="708" w:type="dxa"/>
            <w:vAlign w:val="center"/>
          </w:tcPr>
          <w:p w14:paraId="7259EADF" w14:textId="36258711" w:rsidR="000C57B5" w:rsidRPr="00B22B5C" w:rsidRDefault="000C57B5"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3</w:t>
            </w:r>
          </w:p>
        </w:tc>
        <w:tc>
          <w:tcPr>
            <w:tcW w:w="8931" w:type="dxa"/>
            <w:gridSpan w:val="2"/>
            <w:vAlign w:val="center"/>
          </w:tcPr>
          <w:p w14:paraId="1C0F8CAF" w14:textId="73EB7C1B" w:rsidR="000C57B5" w:rsidRPr="00B22B5C" w:rsidRDefault="000C57B5" w:rsidP="0066023A">
            <w:pPr>
              <w:spacing w:before="40" w:after="40"/>
              <w:jc w:val="both"/>
              <w:rPr>
                <w:rFonts w:ascii="Times New Roman" w:hAnsi="Times New Roman" w:cs="Times New Roman"/>
                <w:bCs/>
                <w:sz w:val="26"/>
                <w:szCs w:val="26"/>
              </w:rPr>
            </w:pPr>
            <w:r w:rsidRPr="00B22B5C">
              <w:rPr>
                <w:rFonts w:ascii="Times New Roman" w:hAnsi="Times New Roman" w:cs="Times New Roman"/>
                <w:b/>
                <w:sz w:val="26"/>
                <w:szCs w:val="26"/>
              </w:rPr>
              <w:t>Lĩnh vực Giám định tư pháp</w:t>
            </w:r>
          </w:p>
        </w:tc>
      </w:tr>
      <w:tr w:rsidR="00721A94" w:rsidRPr="00B22B5C" w14:paraId="54F4FC55" w14:textId="16F99242" w:rsidTr="0066023A">
        <w:tc>
          <w:tcPr>
            <w:tcW w:w="708" w:type="dxa"/>
            <w:vAlign w:val="center"/>
          </w:tcPr>
          <w:p w14:paraId="79BD8737"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3.1</w:t>
            </w:r>
          </w:p>
        </w:tc>
        <w:tc>
          <w:tcPr>
            <w:tcW w:w="6330" w:type="dxa"/>
            <w:vAlign w:val="center"/>
          </w:tcPr>
          <w:p w14:paraId="76F94C67" w14:textId="06DEFCA1" w:rsidR="00721A94" w:rsidRPr="00B22B5C" w:rsidRDefault="00721A94" w:rsidP="007514B4">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Thay đổi, bổ sung lĩnh vực giám định của Văn phòng giám định tư pháp</w:t>
            </w:r>
            <w:r w:rsidR="003541A3" w:rsidRPr="00B22B5C">
              <w:rPr>
                <w:rFonts w:ascii="Times New Roman" w:hAnsi="Times New Roman" w:cs="Times New Roman"/>
                <w:sz w:val="26"/>
                <w:szCs w:val="26"/>
              </w:rPr>
              <w:t>.</w:t>
            </w:r>
          </w:p>
        </w:tc>
        <w:tc>
          <w:tcPr>
            <w:tcW w:w="2601" w:type="dxa"/>
            <w:vAlign w:val="center"/>
          </w:tcPr>
          <w:p w14:paraId="7F6CB0BC" w14:textId="4FEF8C1A"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721A94" w:rsidRPr="00B22B5C" w14:paraId="458E2E3B" w14:textId="07C5166F" w:rsidTr="0066023A">
        <w:tc>
          <w:tcPr>
            <w:tcW w:w="708" w:type="dxa"/>
            <w:vAlign w:val="center"/>
          </w:tcPr>
          <w:p w14:paraId="55813EE4"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3.2</w:t>
            </w:r>
          </w:p>
        </w:tc>
        <w:tc>
          <w:tcPr>
            <w:tcW w:w="6330" w:type="dxa"/>
            <w:vAlign w:val="center"/>
          </w:tcPr>
          <w:p w14:paraId="5A568DE3" w14:textId="338E5088" w:rsidR="00721A94" w:rsidRPr="00B22B5C" w:rsidRDefault="00721A94" w:rsidP="007514B4">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Chuyển đổi loại hình Văn phòng giám định tư pháp cấp tỉnh</w:t>
            </w:r>
            <w:r w:rsidR="003541A3" w:rsidRPr="00B22B5C">
              <w:rPr>
                <w:rFonts w:ascii="Times New Roman" w:hAnsi="Times New Roman" w:cs="Times New Roman"/>
                <w:sz w:val="26"/>
                <w:szCs w:val="26"/>
              </w:rPr>
              <w:t>.</w:t>
            </w:r>
          </w:p>
        </w:tc>
        <w:tc>
          <w:tcPr>
            <w:tcW w:w="2601" w:type="dxa"/>
            <w:vAlign w:val="center"/>
          </w:tcPr>
          <w:p w14:paraId="2EFA56CC" w14:textId="33DEAC68"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721A94" w:rsidRPr="00B22B5C" w14:paraId="02AA7E40" w14:textId="54E0ABF8" w:rsidTr="0066023A">
        <w:tc>
          <w:tcPr>
            <w:tcW w:w="708" w:type="dxa"/>
            <w:vAlign w:val="center"/>
          </w:tcPr>
          <w:p w14:paraId="7A90756E"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3.3</w:t>
            </w:r>
          </w:p>
        </w:tc>
        <w:tc>
          <w:tcPr>
            <w:tcW w:w="6330" w:type="dxa"/>
            <w:vAlign w:val="center"/>
          </w:tcPr>
          <w:p w14:paraId="12F601A9" w14:textId="75B44A09" w:rsidR="00721A94" w:rsidRPr="00B22B5C" w:rsidRDefault="00721A94" w:rsidP="007514B4">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Bổ nhiệm và cấp thẻ giám định viên tư pháp</w:t>
            </w:r>
            <w:r w:rsidR="003541A3" w:rsidRPr="00B22B5C">
              <w:rPr>
                <w:rFonts w:ascii="Times New Roman" w:hAnsi="Times New Roman" w:cs="Times New Roman"/>
                <w:sz w:val="26"/>
                <w:szCs w:val="26"/>
              </w:rPr>
              <w:t>.</w:t>
            </w:r>
          </w:p>
        </w:tc>
        <w:tc>
          <w:tcPr>
            <w:tcW w:w="2601" w:type="dxa"/>
            <w:vAlign w:val="center"/>
          </w:tcPr>
          <w:p w14:paraId="4A323D75" w14:textId="0088E39B"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721A94" w:rsidRPr="00B22B5C" w14:paraId="22A2661D" w14:textId="77777777" w:rsidTr="0066023A">
        <w:tc>
          <w:tcPr>
            <w:tcW w:w="708" w:type="dxa"/>
            <w:vAlign w:val="center"/>
          </w:tcPr>
          <w:p w14:paraId="23E1D081" w14:textId="71A00B40" w:rsidR="00721A94" w:rsidRPr="00B22B5C" w:rsidRDefault="00721A94" w:rsidP="0066023A">
            <w:pPr>
              <w:spacing w:before="40" w:after="40"/>
              <w:jc w:val="center"/>
              <w:rPr>
                <w:rFonts w:ascii="Times New Roman" w:hAnsi="Times New Roman" w:cs="Times New Roman"/>
                <w:b/>
                <w:bCs/>
                <w:sz w:val="26"/>
                <w:szCs w:val="26"/>
              </w:rPr>
            </w:pPr>
            <w:r w:rsidRPr="00B22B5C">
              <w:rPr>
                <w:rFonts w:ascii="Times New Roman" w:hAnsi="Times New Roman" w:cs="Times New Roman"/>
                <w:sz w:val="26"/>
                <w:szCs w:val="26"/>
              </w:rPr>
              <w:lastRenderedPageBreak/>
              <w:t>3.4</w:t>
            </w:r>
          </w:p>
        </w:tc>
        <w:tc>
          <w:tcPr>
            <w:tcW w:w="6330" w:type="dxa"/>
            <w:vAlign w:val="center"/>
          </w:tcPr>
          <w:p w14:paraId="2908B929" w14:textId="208927A8" w:rsidR="00721A94" w:rsidRPr="00B22B5C" w:rsidRDefault="00721A94" w:rsidP="007514B4">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Cho phép thành lập văn phòng giám định tư pháp</w:t>
            </w:r>
            <w:r w:rsidR="003541A3" w:rsidRPr="00B22B5C">
              <w:rPr>
                <w:rFonts w:ascii="Times New Roman" w:hAnsi="Times New Roman" w:cs="Times New Roman"/>
                <w:sz w:val="26"/>
                <w:szCs w:val="26"/>
              </w:rPr>
              <w:t>.</w:t>
            </w:r>
          </w:p>
        </w:tc>
        <w:tc>
          <w:tcPr>
            <w:tcW w:w="2601" w:type="dxa"/>
            <w:vAlign w:val="center"/>
          </w:tcPr>
          <w:p w14:paraId="6E6E904A" w14:textId="1E907246"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0C57B5" w:rsidRPr="00B22B5C" w14:paraId="69241235" w14:textId="77777777" w:rsidTr="0066023A">
        <w:tc>
          <w:tcPr>
            <w:tcW w:w="708" w:type="dxa"/>
            <w:vAlign w:val="center"/>
          </w:tcPr>
          <w:p w14:paraId="6F65F3ED" w14:textId="27DB6B6C" w:rsidR="000C57B5" w:rsidRPr="00B22B5C" w:rsidRDefault="000C57B5"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4</w:t>
            </w:r>
          </w:p>
        </w:tc>
        <w:tc>
          <w:tcPr>
            <w:tcW w:w="8931" w:type="dxa"/>
            <w:gridSpan w:val="2"/>
            <w:vAlign w:val="center"/>
          </w:tcPr>
          <w:p w14:paraId="342E23E7" w14:textId="018F155D" w:rsidR="000C57B5" w:rsidRPr="00B22B5C" w:rsidRDefault="000C57B5" w:rsidP="007514B4">
            <w:pPr>
              <w:spacing w:before="40" w:after="40"/>
              <w:jc w:val="both"/>
              <w:rPr>
                <w:rFonts w:ascii="Times New Roman" w:hAnsi="Times New Roman" w:cs="Times New Roman"/>
                <w:bCs/>
                <w:sz w:val="26"/>
                <w:szCs w:val="26"/>
              </w:rPr>
            </w:pPr>
            <w:r w:rsidRPr="00B22B5C">
              <w:rPr>
                <w:rFonts w:ascii="Times New Roman" w:hAnsi="Times New Roman" w:cs="Times New Roman"/>
                <w:b/>
                <w:sz w:val="26"/>
                <w:szCs w:val="26"/>
              </w:rPr>
              <w:t>Lĩnh vực Trợ giúp pháp lý</w:t>
            </w:r>
          </w:p>
        </w:tc>
      </w:tr>
      <w:tr w:rsidR="00721A94" w:rsidRPr="00B22B5C" w14:paraId="27835DA5" w14:textId="02F68A0D" w:rsidTr="0066023A">
        <w:tc>
          <w:tcPr>
            <w:tcW w:w="708" w:type="dxa"/>
            <w:vAlign w:val="center"/>
          </w:tcPr>
          <w:p w14:paraId="4F992AF0"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4.1</w:t>
            </w:r>
          </w:p>
        </w:tc>
        <w:tc>
          <w:tcPr>
            <w:tcW w:w="6330" w:type="dxa"/>
            <w:vAlign w:val="center"/>
          </w:tcPr>
          <w:p w14:paraId="421129F4" w14:textId="48C314F3" w:rsidR="00721A94" w:rsidRPr="00B22B5C" w:rsidRDefault="00721A94" w:rsidP="007514B4">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Bổ nhiệm và cấp thẻ trợ giúp pháp lý viên</w:t>
            </w:r>
            <w:r w:rsidR="003541A3" w:rsidRPr="00B22B5C">
              <w:rPr>
                <w:rFonts w:ascii="Times New Roman" w:hAnsi="Times New Roman" w:cs="Times New Roman"/>
                <w:sz w:val="26"/>
                <w:szCs w:val="26"/>
              </w:rPr>
              <w:t>.</w:t>
            </w:r>
          </w:p>
        </w:tc>
        <w:tc>
          <w:tcPr>
            <w:tcW w:w="2601" w:type="dxa"/>
            <w:vAlign w:val="center"/>
          </w:tcPr>
          <w:p w14:paraId="471ACD71" w14:textId="267CAD6A"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721A94" w:rsidRPr="00B22B5C" w14:paraId="678E1779" w14:textId="6A485525" w:rsidTr="0066023A">
        <w:tc>
          <w:tcPr>
            <w:tcW w:w="708" w:type="dxa"/>
            <w:vAlign w:val="center"/>
          </w:tcPr>
          <w:p w14:paraId="75AC3AE9"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4.2</w:t>
            </w:r>
          </w:p>
        </w:tc>
        <w:tc>
          <w:tcPr>
            <w:tcW w:w="6330" w:type="dxa"/>
            <w:vAlign w:val="center"/>
          </w:tcPr>
          <w:p w14:paraId="6B5CF0C8" w14:textId="7F077B9A"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Miễn nhiệm và thu hồi thẻ trợ giúp viên pháp lý</w:t>
            </w:r>
            <w:r w:rsidR="003541A3" w:rsidRPr="00B22B5C">
              <w:rPr>
                <w:rFonts w:ascii="Times New Roman" w:hAnsi="Times New Roman" w:cs="Times New Roman"/>
                <w:sz w:val="26"/>
                <w:szCs w:val="26"/>
              </w:rPr>
              <w:t>.</w:t>
            </w:r>
          </w:p>
        </w:tc>
        <w:tc>
          <w:tcPr>
            <w:tcW w:w="2601" w:type="dxa"/>
            <w:vAlign w:val="center"/>
          </w:tcPr>
          <w:p w14:paraId="73F76F43" w14:textId="01ED6DDA" w:rsidR="00721A94" w:rsidRPr="00B22B5C" w:rsidRDefault="00721A94" w:rsidP="0066023A">
            <w:pPr>
              <w:spacing w:before="40" w:after="40"/>
              <w:jc w:val="both"/>
              <w:rPr>
                <w:rFonts w:ascii="Times New Roman" w:hAnsi="Times New Roman" w:cs="Times New Roman"/>
                <w:sz w:val="26"/>
                <w:szCs w:val="26"/>
              </w:rPr>
            </w:pPr>
          </w:p>
        </w:tc>
      </w:tr>
      <w:tr w:rsidR="00721A94" w:rsidRPr="00B22B5C" w14:paraId="5A51A2BF" w14:textId="76746315" w:rsidTr="0066023A">
        <w:tc>
          <w:tcPr>
            <w:tcW w:w="708" w:type="dxa"/>
            <w:vAlign w:val="center"/>
          </w:tcPr>
          <w:p w14:paraId="51276FAC"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4.3</w:t>
            </w:r>
          </w:p>
        </w:tc>
        <w:tc>
          <w:tcPr>
            <w:tcW w:w="6330" w:type="dxa"/>
            <w:vAlign w:val="center"/>
          </w:tcPr>
          <w:p w14:paraId="70F3F6D8" w14:textId="5D1DAE2B"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Cấp lại thẻ trợ giúp viên pháp lý</w:t>
            </w:r>
            <w:r w:rsidR="003541A3" w:rsidRPr="00B22B5C">
              <w:rPr>
                <w:rFonts w:ascii="Times New Roman" w:hAnsi="Times New Roman" w:cs="Times New Roman"/>
                <w:sz w:val="26"/>
                <w:szCs w:val="26"/>
              </w:rPr>
              <w:t>.</w:t>
            </w:r>
          </w:p>
        </w:tc>
        <w:tc>
          <w:tcPr>
            <w:tcW w:w="2601" w:type="dxa"/>
            <w:vAlign w:val="center"/>
          </w:tcPr>
          <w:p w14:paraId="6A0A25AC" w14:textId="18159384"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721A94" w:rsidRPr="00B22B5C" w14:paraId="00124EB2" w14:textId="225419DE" w:rsidTr="0066023A">
        <w:tc>
          <w:tcPr>
            <w:tcW w:w="708" w:type="dxa"/>
            <w:vAlign w:val="center"/>
          </w:tcPr>
          <w:p w14:paraId="08DD50FB"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4.4</w:t>
            </w:r>
          </w:p>
        </w:tc>
        <w:tc>
          <w:tcPr>
            <w:tcW w:w="6330" w:type="dxa"/>
            <w:vAlign w:val="center"/>
          </w:tcPr>
          <w:p w14:paraId="2D786DA0" w14:textId="52D8FC72"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Thành lập, giải thể, sáp nhập chi nhánh củ</w:t>
            </w:r>
            <w:r w:rsidR="007514B4">
              <w:rPr>
                <w:rFonts w:ascii="Times New Roman" w:hAnsi="Times New Roman" w:cs="Times New Roman"/>
                <w:sz w:val="26"/>
                <w:szCs w:val="26"/>
              </w:rPr>
              <w:t>a Trung tâm T</w:t>
            </w:r>
            <w:r w:rsidRPr="00B22B5C">
              <w:rPr>
                <w:rFonts w:ascii="Times New Roman" w:hAnsi="Times New Roman" w:cs="Times New Roman"/>
                <w:sz w:val="26"/>
                <w:szCs w:val="26"/>
              </w:rPr>
              <w:t>rợ giúp pháp lý</w:t>
            </w:r>
            <w:r w:rsidR="003541A3" w:rsidRPr="00B22B5C">
              <w:rPr>
                <w:rFonts w:ascii="Times New Roman" w:hAnsi="Times New Roman" w:cs="Times New Roman"/>
                <w:sz w:val="26"/>
                <w:szCs w:val="26"/>
              </w:rPr>
              <w:t>.</w:t>
            </w:r>
          </w:p>
        </w:tc>
        <w:tc>
          <w:tcPr>
            <w:tcW w:w="2601" w:type="dxa"/>
            <w:vAlign w:val="center"/>
          </w:tcPr>
          <w:p w14:paraId="0F712016" w14:textId="0EC8DC2D"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Tư pháp</w:t>
            </w:r>
          </w:p>
        </w:tc>
      </w:tr>
      <w:tr w:rsidR="000C57B5" w:rsidRPr="00B22B5C" w14:paraId="4A5DDE2B" w14:textId="77777777" w:rsidTr="0066023A">
        <w:tc>
          <w:tcPr>
            <w:tcW w:w="708" w:type="dxa"/>
            <w:vAlign w:val="center"/>
          </w:tcPr>
          <w:p w14:paraId="4ED3CFDB" w14:textId="3EFF2945" w:rsidR="000C57B5" w:rsidRPr="00B22B5C" w:rsidRDefault="000C57B5"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III</w:t>
            </w:r>
          </w:p>
        </w:tc>
        <w:tc>
          <w:tcPr>
            <w:tcW w:w="6330" w:type="dxa"/>
            <w:vAlign w:val="center"/>
          </w:tcPr>
          <w:p w14:paraId="2ED9E72A" w14:textId="531A1488" w:rsidR="000C57B5" w:rsidRPr="00B22B5C" w:rsidRDefault="000C57B5" w:rsidP="0066023A">
            <w:pPr>
              <w:spacing w:before="40" w:after="40"/>
              <w:jc w:val="both"/>
              <w:rPr>
                <w:rFonts w:ascii="Times New Roman" w:hAnsi="Times New Roman" w:cs="Times New Roman"/>
                <w:b/>
                <w:sz w:val="26"/>
                <w:szCs w:val="26"/>
              </w:rPr>
            </w:pPr>
            <w:r w:rsidRPr="00B22B5C">
              <w:rPr>
                <w:rFonts w:ascii="Times New Roman" w:hAnsi="Times New Roman" w:cs="Times New Roman"/>
                <w:b/>
                <w:sz w:val="26"/>
                <w:szCs w:val="26"/>
              </w:rPr>
              <w:t>Lĩnh vực Y tế</w:t>
            </w:r>
          </w:p>
        </w:tc>
        <w:tc>
          <w:tcPr>
            <w:tcW w:w="2601" w:type="dxa"/>
            <w:vAlign w:val="center"/>
          </w:tcPr>
          <w:p w14:paraId="78861198" w14:textId="77777777" w:rsidR="000C57B5" w:rsidRPr="00B22B5C" w:rsidRDefault="000C57B5" w:rsidP="0066023A">
            <w:pPr>
              <w:spacing w:before="40" w:after="40"/>
              <w:jc w:val="both"/>
              <w:rPr>
                <w:rFonts w:ascii="Times New Roman" w:hAnsi="Times New Roman" w:cs="Times New Roman"/>
                <w:bCs/>
                <w:sz w:val="26"/>
                <w:szCs w:val="26"/>
              </w:rPr>
            </w:pPr>
          </w:p>
        </w:tc>
      </w:tr>
      <w:tr w:rsidR="00721A94" w:rsidRPr="00B22B5C" w14:paraId="7609D189" w14:textId="29F0AE44" w:rsidTr="0066023A">
        <w:tc>
          <w:tcPr>
            <w:tcW w:w="708" w:type="dxa"/>
            <w:vAlign w:val="center"/>
          </w:tcPr>
          <w:p w14:paraId="4FE8904E"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1</w:t>
            </w:r>
          </w:p>
        </w:tc>
        <w:tc>
          <w:tcPr>
            <w:tcW w:w="6330" w:type="dxa"/>
            <w:vAlign w:val="center"/>
          </w:tcPr>
          <w:p w14:paraId="27F4D12F" w14:textId="7FCAEBB8"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Quản lý về an toàn thực phẩm đối với cơ sở sản xuất, chế biến, kinh doanh thực phẩm, cơ sở kinh doanh dịch vụ ăn uống</w:t>
            </w:r>
            <w:r w:rsidR="003541A3" w:rsidRPr="00B22B5C">
              <w:rPr>
                <w:rFonts w:ascii="Times New Roman" w:hAnsi="Times New Roman" w:cs="Times New Roman"/>
                <w:sz w:val="26"/>
                <w:szCs w:val="26"/>
              </w:rPr>
              <w:t>.</w:t>
            </w:r>
          </w:p>
        </w:tc>
        <w:tc>
          <w:tcPr>
            <w:tcW w:w="2601" w:type="dxa"/>
            <w:vAlign w:val="center"/>
          </w:tcPr>
          <w:p w14:paraId="115A21AD" w14:textId="57D1DEE0"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Y tế</w:t>
            </w:r>
          </w:p>
        </w:tc>
      </w:tr>
      <w:tr w:rsidR="000C57B5" w:rsidRPr="00B22B5C" w14:paraId="07F8BF17" w14:textId="77777777" w:rsidTr="0066023A">
        <w:tc>
          <w:tcPr>
            <w:tcW w:w="708" w:type="dxa"/>
            <w:vAlign w:val="center"/>
          </w:tcPr>
          <w:p w14:paraId="15B7E419" w14:textId="5889BA3A" w:rsidR="000C57B5" w:rsidRPr="00B22B5C" w:rsidRDefault="000C57B5"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IV</w:t>
            </w:r>
          </w:p>
        </w:tc>
        <w:tc>
          <w:tcPr>
            <w:tcW w:w="8931" w:type="dxa"/>
            <w:gridSpan w:val="2"/>
            <w:vAlign w:val="center"/>
          </w:tcPr>
          <w:p w14:paraId="518C21C7" w14:textId="2884C10F" w:rsidR="000C57B5" w:rsidRPr="00B22B5C" w:rsidRDefault="000C57B5" w:rsidP="0066023A">
            <w:pPr>
              <w:spacing w:before="40" w:after="40"/>
              <w:jc w:val="both"/>
              <w:rPr>
                <w:rFonts w:ascii="Times New Roman" w:hAnsi="Times New Roman" w:cs="Times New Roman"/>
                <w:sz w:val="26"/>
                <w:szCs w:val="26"/>
              </w:rPr>
            </w:pPr>
            <w:r w:rsidRPr="00B22B5C">
              <w:rPr>
                <w:rFonts w:ascii="Times New Roman" w:hAnsi="Times New Roman" w:cs="Times New Roman"/>
                <w:b/>
                <w:sz w:val="26"/>
                <w:szCs w:val="26"/>
              </w:rPr>
              <w:t>Lĩnh vực Ngoại vụ</w:t>
            </w:r>
          </w:p>
        </w:tc>
      </w:tr>
      <w:tr w:rsidR="00721A94" w:rsidRPr="00B22B5C" w14:paraId="566E0EE5" w14:textId="171D02C7" w:rsidTr="0066023A">
        <w:tc>
          <w:tcPr>
            <w:tcW w:w="708" w:type="dxa"/>
            <w:vAlign w:val="center"/>
          </w:tcPr>
          <w:p w14:paraId="6132E9A7"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1</w:t>
            </w:r>
          </w:p>
        </w:tc>
        <w:tc>
          <w:tcPr>
            <w:tcW w:w="6330" w:type="dxa"/>
            <w:vAlign w:val="center"/>
          </w:tcPr>
          <w:p w14:paraId="793A8E32" w14:textId="259EE232"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Cho chủ trương đăng cai tổ chức hội nghị, hội thảo quốc tế không thuộc thẩm quyền cho phép của Thủ tướng Chính phủ</w:t>
            </w:r>
            <w:r w:rsidR="003541A3" w:rsidRPr="00B22B5C">
              <w:rPr>
                <w:rFonts w:ascii="Times New Roman" w:hAnsi="Times New Roman" w:cs="Times New Roman"/>
                <w:sz w:val="26"/>
                <w:szCs w:val="26"/>
              </w:rPr>
              <w:t>.</w:t>
            </w:r>
          </w:p>
        </w:tc>
        <w:tc>
          <w:tcPr>
            <w:tcW w:w="2601" w:type="dxa"/>
            <w:vAlign w:val="center"/>
          </w:tcPr>
          <w:p w14:paraId="4F005127" w14:textId="3B8F5F67"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Sở Ngoại vụ</w:t>
            </w:r>
          </w:p>
        </w:tc>
      </w:tr>
      <w:tr w:rsidR="00721A94" w:rsidRPr="00B22B5C" w14:paraId="2381066B" w14:textId="5A361C3C" w:rsidTr="0066023A">
        <w:tc>
          <w:tcPr>
            <w:tcW w:w="708" w:type="dxa"/>
            <w:vAlign w:val="center"/>
          </w:tcPr>
          <w:p w14:paraId="573E5569"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2</w:t>
            </w:r>
          </w:p>
        </w:tc>
        <w:tc>
          <w:tcPr>
            <w:tcW w:w="6330" w:type="dxa"/>
            <w:vAlign w:val="center"/>
          </w:tcPr>
          <w:p w14:paraId="0D5F7E68" w14:textId="6D55632F"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Cho phép tổ chức hội nghị, hội thảo quốc tế không thuộc thẩm quyền cho phép của Thủ tướng Chính phủ</w:t>
            </w:r>
            <w:r w:rsidR="003541A3" w:rsidRPr="00B22B5C">
              <w:rPr>
                <w:rFonts w:ascii="Times New Roman" w:hAnsi="Times New Roman" w:cs="Times New Roman"/>
                <w:sz w:val="26"/>
                <w:szCs w:val="26"/>
              </w:rPr>
              <w:t>.</w:t>
            </w:r>
          </w:p>
        </w:tc>
        <w:tc>
          <w:tcPr>
            <w:tcW w:w="2601" w:type="dxa"/>
            <w:vAlign w:val="center"/>
          </w:tcPr>
          <w:p w14:paraId="68E6062E" w14:textId="60035E1D" w:rsidR="00721A94" w:rsidRPr="00B22B5C" w:rsidRDefault="000C57B5" w:rsidP="0066023A">
            <w:pPr>
              <w:spacing w:before="40" w:after="40"/>
              <w:jc w:val="both"/>
              <w:rPr>
                <w:rFonts w:ascii="Times New Roman" w:hAnsi="Times New Roman" w:cs="Times New Roman"/>
                <w:strike/>
                <w:sz w:val="26"/>
                <w:szCs w:val="26"/>
              </w:rPr>
            </w:pPr>
            <w:r w:rsidRPr="00B22B5C">
              <w:rPr>
                <w:rFonts w:ascii="Times New Roman" w:hAnsi="Times New Roman" w:cs="Times New Roman"/>
                <w:sz w:val="26"/>
                <w:szCs w:val="26"/>
              </w:rPr>
              <w:t>Sở Ngoại vụ</w:t>
            </w:r>
          </w:p>
        </w:tc>
      </w:tr>
      <w:tr w:rsidR="000C57B5" w:rsidRPr="00B22B5C" w14:paraId="3FB5D685" w14:textId="77777777" w:rsidTr="0066023A">
        <w:tc>
          <w:tcPr>
            <w:tcW w:w="708" w:type="dxa"/>
            <w:vAlign w:val="center"/>
          </w:tcPr>
          <w:p w14:paraId="688C8E5C" w14:textId="3DF37C7D" w:rsidR="000C57B5" w:rsidRPr="00B22B5C" w:rsidRDefault="000C57B5"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V</w:t>
            </w:r>
          </w:p>
        </w:tc>
        <w:tc>
          <w:tcPr>
            <w:tcW w:w="8931" w:type="dxa"/>
            <w:gridSpan w:val="2"/>
            <w:vAlign w:val="center"/>
          </w:tcPr>
          <w:p w14:paraId="378335DB" w14:textId="5CE5C85F" w:rsidR="000C57B5" w:rsidRPr="00B22B5C" w:rsidRDefault="000C57B5" w:rsidP="0066023A">
            <w:pPr>
              <w:spacing w:before="40" w:after="40"/>
              <w:jc w:val="both"/>
              <w:rPr>
                <w:rFonts w:ascii="Times New Roman" w:hAnsi="Times New Roman" w:cs="Times New Roman"/>
                <w:bCs/>
                <w:sz w:val="26"/>
                <w:szCs w:val="26"/>
              </w:rPr>
            </w:pPr>
            <w:r w:rsidRPr="00B22B5C">
              <w:rPr>
                <w:rFonts w:ascii="Times New Roman" w:hAnsi="Times New Roman" w:cs="Times New Roman"/>
                <w:b/>
                <w:sz w:val="26"/>
                <w:szCs w:val="26"/>
              </w:rPr>
              <w:t>Lĩnh vực Xây dựng</w:t>
            </w:r>
          </w:p>
        </w:tc>
      </w:tr>
      <w:tr w:rsidR="00721A94" w:rsidRPr="00B22B5C" w14:paraId="498CAA78" w14:textId="28FE4CAE" w:rsidTr="0066023A">
        <w:tc>
          <w:tcPr>
            <w:tcW w:w="708" w:type="dxa"/>
            <w:vAlign w:val="center"/>
          </w:tcPr>
          <w:p w14:paraId="34F20C0A"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1</w:t>
            </w:r>
          </w:p>
        </w:tc>
        <w:tc>
          <w:tcPr>
            <w:tcW w:w="6330" w:type="dxa"/>
            <w:vAlign w:val="center"/>
          </w:tcPr>
          <w:p w14:paraId="44C4B626" w14:textId="265472D1"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Thủ tục hành chính liên quan lĩnh vực quy hoạ</w:t>
            </w:r>
            <w:r w:rsidR="007514B4">
              <w:rPr>
                <w:rFonts w:ascii="Times New Roman" w:hAnsi="Times New Roman" w:cs="Times New Roman"/>
                <w:sz w:val="26"/>
                <w:szCs w:val="26"/>
              </w:rPr>
              <w:t>ch: T</w:t>
            </w:r>
            <w:r w:rsidRPr="00B22B5C">
              <w:rPr>
                <w:rFonts w:ascii="Times New Roman" w:hAnsi="Times New Roman" w:cs="Times New Roman"/>
                <w:sz w:val="26"/>
                <w:szCs w:val="26"/>
              </w:rPr>
              <w:t>hẩm định nhiệm vụ, nhiệm vụ điều chỉnh quy hoạch chi tiết; thẩm định đồ án, đồ án điều chỉnh quy hoạch chi tiết của dự án đầu tư xây dựng công trình theo hình thức kinh doanh</w:t>
            </w:r>
            <w:r w:rsidR="003541A3" w:rsidRPr="00B22B5C">
              <w:rPr>
                <w:rFonts w:ascii="Times New Roman" w:hAnsi="Times New Roman" w:cs="Times New Roman"/>
                <w:sz w:val="26"/>
                <w:szCs w:val="26"/>
              </w:rPr>
              <w:t>.</w:t>
            </w:r>
          </w:p>
        </w:tc>
        <w:tc>
          <w:tcPr>
            <w:tcW w:w="2601" w:type="dxa"/>
            <w:vAlign w:val="center"/>
          </w:tcPr>
          <w:p w14:paraId="3ED07651" w14:textId="61DB0DA3"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Xây dựng</w:t>
            </w:r>
          </w:p>
        </w:tc>
      </w:tr>
      <w:tr w:rsidR="00721A94" w:rsidRPr="00B22B5C" w14:paraId="5DBBE60D" w14:textId="5E57E9B9" w:rsidTr="0066023A">
        <w:tc>
          <w:tcPr>
            <w:tcW w:w="708" w:type="dxa"/>
            <w:vAlign w:val="center"/>
          </w:tcPr>
          <w:p w14:paraId="34748F31"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2</w:t>
            </w:r>
          </w:p>
        </w:tc>
        <w:tc>
          <w:tcPr>
            <w:tcW w:w="6330" w:type="dxa"/>
            <w:vAlign w:val="center"/>
          </w:tcPr>
          <w:p w14:paraId="76A61D38" w14:textId="6CD05E61"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Thủ tục hành chính liên quan lĩnh vực hoạt động xây dựng: thẩm định, điều chỉnh báo cáo nghiên cứu khả thi xây dựng; thẩm định, điều chỉnh thiết kế triển khai sau thiết kế cơ sở; cấp, điều chỉnh, gia hạn giấy phép xây dựng</w:t>
            </w:r>
            <w:r w:rsidR="003541A3" w:rsidRPr="00B22B5C">
              <w:rPr>
                <w:rFonts w:ascii="Times New Roman" w:hAnsi="Times New Roman" w:cs="Times New Roman"/>
                <w:sz w:val="26"/>
                <w:szCs w:val="26"/>
              </w:rPr>
              <w:t>.</w:t>
            </w:r>
          </w:p>
        </w:tc>
        <w:tc>
          <w:tcPr>
            <w:tcW w:w="2601" w:type="dxa"/>
            <w:vAlign w:val="center"/>
          </w:tcPr>
          <w:p w14:paraId="6DAE586A" w14:textId="2BA70A3F"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Xây dựng</w:t>
            </w:r>
          </w:p>
        </w:tc>
      </w:tr>
      <w:tr w:rsidR="00721A94" w:rsidRPr="00B22B5C" w14:paraId="7B4954F2" w14:textId="5482BE29" w:rsidTr="0066023A">
        <w:tc>
          <w:tcPr>
            <w:tcW w:w="708" w:type="dxa"/>
            <w:vAlign w:val="center"/>
          </w:tcPr>
          <w:p w14:paraId="0C75728B"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3</w:t>
            </w:r>
          </w:p>
        </w:tc>
        <w:tc>
          <w:tcPr>
            <w:tcW w:w="6330" w:type="dxa"/>
            <w:vAlign w:val="center"/>
          </w:tcPr>
          <w:p w14:paraId="10B7EE9A" w14:textId="19E8D1F4"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Thủ tục hành chính liên quan lĩnh vực quản lý chất lượ</w:t>
            </w:r>
            <w:r w:rsidR="00626AFA" w:rsidRPr="00B22B5C">
              <w:rPr>
                <w:rFonts w:ascii="Times New Roman" w:hAnsi="Times New Roman" w:cs="Times New Roman"/>
                <w:sz w:val="26"/>
                <w:szCs w:val="26"/>
              </w:rPr>
              <w:t>ng công trình: Q</w:t>
            </w:r>
            <w:r w:rsidRPr="00B22B5C">
              <w:rPr>
                <w:rFonts w:ascii="Times New Roman" w:hAnsi="Times New Roman" w:cs="Times New Roman"/>
                <w:sz w:val="26"/>
                <w:szCs w:val="26"/>
              </w:rPr>
              <w:t>uản lý chất lượng công trình xây dựng; kiểm tra công tác nghiệm thu hoàn thành công trình của cơ quan chuyên môn về xây dựng tại địa phương.</w:t>
            </w:r>
          </w:p>
        </w:tc>
        <w:tc>
          <w:tcPr>
            <w:tcW w:w="2601" w:type="dxa"/>
            <w:vAlign w:val="center"/>
          </w:tcPr>
          <w:p w14:paraId="36C61B37" w14:textId="331095BD"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Xây dựng; Ban Quản lý Khu công nghiệp; Ban Quản lý Khu công nghệ cao</w:t>
            </w:r>
          </w:p>
        </w:tc>
      </w:tr>
      <w:tr w:rsidR="000C57B5" w:rsidRPr="00B22B5C" w14:paraId="64779140" w14:textId="77777777" w:rsidTr="0066023A">
        <w:tc>
          <w:tcPr>
            <w:tcW w:w="708" w:type="dxa"/>
            <w:vAlign w:val="center"/>
          </w:tcPr>
          <w:p w14:paraId="5EFF807B" w14:textId="20832C28" w:rsidR="000C57B5" w:rsidRPr="00B22B5C" w:rsidRDefault="000C57B5"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VI</w:t>
            </w:r>
          </w:p>
        </w:tc>
        <w:tc>
          <w:tcPr>
            <w:tcW w:w="8931" w:type="dxa"/>
            <w:gridSpan w:val="2"/>
            <w:vAlign w:val="center"/>
          </w:tcPr>
          <w:p w14:paraId="557429E1" w14:textId="2748C869" w:rsidR="000C57B5" w:rsidRPr="00B22B5C" w:rsidRDefault="000C57B5" w:rsidP="0066023A">
            <w:pPr>
              <w:spacing w:before="40" w:after="40"/>
              <w:jc w:val="both"/>
              <w:rPr>
                <w:rFonts w:ascii="Times New Roman" w:hAnsi="Times New Roman" w:cs="Times New Roman"/>
                <w:b/>
                <w:bCs/>
                <w:sz w:val="26"/>
                <w:szCs w:val="26"/>
              </w:rPr>
            </w:pPr>
            <w:r w:rsidRPr="00B22B5C">
              <w:rPr>
                <w:rFonts w:ascii="Times New Roman" w:hAnsi="Times New Roman" w:cs="Times New Roman"/>
                <w:b/>
                <w:sz w:val="26"/>
                <w:szCs w:val="26"/>
              </w:rPr>
              <w:t>Lĩnh vự</w:t>
            </w:r>
            <w:r w:rsidR="00626AFA" w:rsidRPr="00B22B5C">
              <w:rPr>
                <w:rFonts w:ascii="Times New Roman" w:hAnsi="Times New Roman" w:cs="Times New Roman"/>
                <w:b/>
                <w:sz w:val="26"/>
                <w:szCs w:val="26"/>
              </w:rPr>
              <w:t>c Tài nguyên và M</w:t>
            </w:r>
            <w:r w:rsidRPr="00B22B5C">
              <w:rPr>
                <w:rFonts w:ascii="Times New Roman" w:hAnsi="Times New Roman" w:cs="Times New Roman"/>
                <w:b/>
                <w:sz w:val="26"/>
                <w:szCs w:val="26"/>
              </w:rPr>
              <w:t>ôi trường</w:t>
            </w:r>
          </w:p>
        </w:tc>
      </w:tr>
      <w:tr w:rsidR="00721A94" w:rsidRPr="00B22B5C" w14:paraId="2871784B" w14:textId="3020301A" w:rsidTr="0066023A">
        <w:tc>
          <w:tcPr>
            <w:tcW w:w="708" w:type="dxa"/>
            <w:vAlign w:val="center"/>
          </w:tcPr>
          <w:p w14:paraId="639E11BC"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1</w:t>
            </w:r>
          </w:p>
        </w:tc>
        <w:tc>
          <w:tcPr>
            <w:tcW w:w="6330" w:type="dxa"/>
            <w:vAlign w:val="center"/>
          </w:tcPr>
          <w:p w14:paraId="421B329D" w14:textId="5B586C75"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Các thủ tục hành chính lĩnh vực tài nguyên nước</w:t>
            </w:r>
            <w:r w:rsidR="003541A3" w:rsidRPr="00B22B5C">
              <w:rPr>
                <w:rFonts w:ascii="Times New Roman" w:hAnsi="Times New Roman" w:cs="Times New Roman"/>
                <w:sz w:val="26"/>
                <w:szCs w:val="26"/>
              </w:rPr>
              <w:t>.</w:t>
            </w:r>
          </w:p>
        </w:tc>
        <w:tc>
          <w:tcPr>
            <w:tcW w:w="2601" w:type="dxa"/>
            <w:vAlign w:val="center"/>
          </w:tcPr>
          <w:p w14:paraId="5DE232E1" w14:textId="04B70C71" w:rsidR="00721A94" w:rsidRPr="00B22B5C" w:rsidRDefault="00721A94" w:rsidP="0066023A">
            <w:pPr>
              <w:spacing w:before="40" w:after="40"/>
              <w:jc w:val="both"/>
              <w:rPr>
                <w:rFonts w:ascii="Times New Roman" w:hAnsi="Times New Roman" w:cs="Times New Roman"/>
                <w:bCs/>
                <w:sz w:val="26"/>
                <w:szCs w:val="26"/>
              </w:rPr>
            </w:pPr>
            <w:r w:rsidRPr="00B22B5C">
              <w:rPr>
                <w:rFonts w:ascii="Times New Roman" w:hAnsi="Times New Roman" w:cs="Times New Roman"/>
                <w:bCs/>
                <w:sz w:val="26"/>
                <w:szCs w:val="26"/>
              </w:rPr>
              <w:t>Sở Tài nguyên và Môi trường</w:t>
            </w:r>
          </w:p>
        </w:tc>
      </w:tr>
      <w:tr w:rsidR="00721A94" w:rsidRPr="00B22B5C" w14:paraId="19963FB1" w14:textId="49C6CEFC" w:rsidTr="0066023A">
        <w:tc>
          <w:tcPr>
            <w:tcW w:w="708" w:type="dxa"/>
            <w:vAlign w:val="center"/>
          </w:tcPr>
          <w:p w14:paraId="2420A51F"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2</w:t>
            </w:r>
          </w:p>
        </w:tc>
        <w:tc>
          <w:tcPr>
            <w:tcW w:w="6330" w:type="dxa"/>
            <w:vAlign w:val="center"/>
          </w:tcPr>
          <w:p w14:paraId="136B61DE" w14:textId="6A45AB9A"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Các thủ tục hành chính lĩnh vực địa chất và khoáng sản</w:t>
            </w:r>
            <w:r w:rsidR="003541A3" w:rsidRPr="00B22B5C">
              <w:rPr>
                <w:rFonts w:ascii="Times New Roman" w:hAnsi="Times New Roman" w:cs="Times New Roman"/>
                <w:sz w:val="26"/>
                <w:szCs w:val="26"/>
              </w:rPr>
              <w:t>.</w:t>
            </w:r>
          </w:p>
        </w:tc>
        <w:tc>
          <w:tcPr>
            <w:tcW w:w="2601" w:type="dxa"/>
            <w:vAlign w:val="center"/>
          </w:tcPr>
          <w:p w14:paraId="6AFF6CF1" w14:textId="7D64FCF3" w:rsidR="00721A94" w:rsidRPr="00B22B5C" w:rsidRDefault="00721A94" w:rsidP="0066023A">
            <w:pPr>
              <w:spacing w:before="40" w:after="40"/>
              <w:jc w:val="both"/>
              <w:rPr>
                <w:rFonts w:ascii="Times New Roman" w:hAnsi="Times New Roman" w:cs="Times New Roman"/>
                <w:bCs/>
                <w:sz w:val="26"/>
                <w:szCs w:val="26"/>
              </w:rPr>
            </w:pPr>
            <w:r w:rsidRPr="00B22B5C">
              <w:rPr>
                <w:rFonts w:ascii="Times New Roman" w:hAnsi="Times New Roman" w:cs="Times New Roman"/>
                <w:bCs/>
                <w:sz w:val="26"/>
                <w:szCs w:val="26"/>
              </w:rPr>
              <w:t>Sở Tài nguyên và Môi trường</w:t>
            </w:r>
          </w:p>
        </w:tc>
      </w:tr>
      <w:tr w:rsidR="00721A94" w:rsidRPr="00B22B5C" w14:paraId="4A0571D1" w14:textId="640339C2" w:rsidTr="0066023A">
        <w:tc>
          <w:tcPr>
            <w:tcW w:w="708" w:type="dxa"/>
            <w:vAlign w:val="center"/>
          </w:tcPr>
          <w:p w14:paraId="34162C10"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3</w:t>
            </w:r>
          </w:p>
        </w:tc>
        <w:tc>
          <w:tcPr>
            <w:tcW w:w="6330" w:type="dxa"/>
            <w:vAlign w:val="center"/>
          </w:tcPr>
          <w:p w14:paraId="51A53595" w14:textId="0DD530C1"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Các thủ tục hành chính lĩnh vực môi trường</w:t>
            </w:r>
            <w:r w:rsidR="003541A3" w:rsidRPr="00B22B5C">
              <w:rPr>
                <w:rFonts w:ascii="Times New Roman" w:hAnsi="Times New Roman" w:cs="Times New Roman"/>
                <w:sz w:val="26"/>
                <w:szCs w:val="26"/>
              </w:rPr>
              <w:t>.</w:t>
            </w:r>
          </w:p>
        </w:tc>
        <w:tc>
          <w:tcPr>
            <w:tcW w:w="2601" w:type="dxa"/>
            <w:vAlign w:val="center"/>
          </w:tcPr>
          <w:p w14:paraId="6ACBAA01" w14:textId="3E683870" w:rsidR="00721A94" w:rsidRPr="00B22B5C" w:rsidRDefault="00721A94" w:rsidP="0066023A">
            <w:pPr>
              <w:spacing w:before="40" w:after="40"/>
              <w:jc w:val="both"/>
              <w:rPr>
                <w:rFonts w:ascii="Times New Roman" w:hAnsi="Times New Roman" w:cs="Times New Roman"/>
                <w:bCs/>
                <w:sz w:val="26"/>
                <w:szCs w:val="26"/>
              </w:rPr>
            </w:pPr>
            <w:r w:rsidRPr="00B22B5C">
              <w:rPr>
                <w:rFonts w:ascii="Times New Roman" w:hAnsi="Times New Roman" w:cs="Times New Roman"/>
                <w:bCs/>
                <w:sz w:val="26"/>
                <w:szCs w:val="26"/>
              </w:rPr>
              <w:t>Sở Tài nguyên và Môi trường; Ban Quản lý các Khu công nghiệp tỉnh</w:t>
            </w:r>
          </w:p>
        </w:tc>
      </w:tr>
      <w:tr w:rsidR="00721A94" w:rsidRPr="00B22B5C" w14:paraId="1AB60E27" w14:textId="2245E319" w:rsidTr="0066023A">
        <w:tc>
          <w:tcPr>
            <w:tcW w:w="708" w:type="dxa"/>
            <w:vAlign w:val="center"/>
          </w:tcPr>
          <w:p w14:paraId="4DEC2CDA"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4</w:t>
            </w:r>
          </w:p>
        </w:tc>
        <w:tc>
          <w:tcPr>
            <w:tcW w:w="6330" w:type="dxa"/>
            <w:vAlign w:val="center"/>
          </w:tcPr>
          <w:p w14:paraId="78817D6F" w14:textId="46BC0E9D"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Các thủ tục hành chính lĩnh vực đất đai</w:t>
            </w:r>
            <w:r w:rsidR="003541A3" w:rsidRPr="00B22B5C">
              <w:rPr>
                <w:rFonts w:ascii="Times New Roman" w:hAnsi="Times New Roman" w:cs="Times New Roman"/>
                <w:sz w:val="26"/>
                <w:szCs w:val="26"/>
              </w:rPr>
              <w:t>.</w:t>
            </w:r>
          </w:p>
        </w:tc>
        <w:tc>
          <w:tcPr>
            <w:tcW w:w="2601" w:type="dxa"/>
            <w:vAlign w:val="center"/>
          </w:tcPr>
          <w:p w14:paraId="6E25FDF0" w14:textId="2361CB5C"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Tài nguyên và Môi trường</w:t>
            </w:r>
          </w:p>
        </w:tc>
      </w:tr>
      <w:tr w:rsidR="00721A94" w:rsidRPr="00B22B5C" w14:paraId="38FDB81E" w14:textId="428BC172" w:rsidTr="0066023A">
        <w:tc>
          <w:tcPr>
            <w:tcW w:w="708" w:type="dxa"/>
            <w:vAlign w:val="center"/>
          </w:tcPr>
          <w:p w14:paraId="5549A756"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lastRenderedPageBreak/>
              <w:t>5</w:t>
            </w:r>
          </w:p>
        </w:tc>
        <w:tc>
          <w:tcPr>
            <w:tcW w:w="6330" w:type="dxa"/>
            <w:vAlign w:val="center"/>
          </w:tcPr>
          <w:p w14:paraId="05A57ECA" w14:textId="37898736"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Thực hiện thẩm định, phê duyệt kết quả thẩm định báo cáo đánh giá tác động môi trường, cấp, cấp đổi, điều chỉnh, cấp lại, tước quyền sử dụng, thu hồi giấy phép môi trường đối với các dự án đầu tư trong các khu công nghiệp trên địa bàn tỉnh Đồng Nai thuộc thẩm quyền của UBND tỉnh Đồng Nai</w:t>
            </w:r>
            <w:r w:rsidR="003541A3" w:rsidRPr="00B22B5C">
              <w:rPr>
                <w:rFonts w:ascii="Times New Roman" w:hAnsi="Times New Roman" w:cs="Times New Roman"/>
                <w:sz w:val="26"/>
                <w:szCs w:val="26"/>
              </w:rPr>
              <w:t>.</w:t>
            </w:r>
          </w:p>
        </w:tc>
        <w:tc>
          <w:tcPr>
            <w:tcW w:w="2601" w:type="dxa"/>
            <w:vAlign w:val="center"/>
          </w:tcPr>
          <w:p w14:paraId="06890391" w14:textId="648AC301"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Ban Quản lý các Khu công nghiệp tỉnh</w:t>
            </w:r>
          </w:p>
        </w:tc>
      </w:tr>
      <w:tr w:rsidR="000C57B5" w:rsidRPr="00B22B5C" w14:paraId="010DBDDA" w14:textId="77777777" w:rsidTr="0066023A">
        <w:tc>
          <w:tcPr>
            <w:tcW w:w="708" w:type="dxa"/>
            <w:vAlign w:val="center"/>
          </w:tcPr>
          <w:p w14:paraId="19A6B134" w14:textId="5E104B83" w:rsidR="000C57B5" w:rsidRPr="00B22B5C" w:rsidRDefault="000C57B5"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VII</w:t>
            </w:r>
          </w:p>
        </w:tc>
        <w:tc>
          <w:tcPr>
            <w:tcW w:w="8931" w:type="dxa"/>
            <w:gridSpan w:val="2"/>
            <w:vAlign w:val="center"/>
          </w:tcPr>
          <w:p w14:paraId="43B13A13" w14:textId="7B6EBF93" w:rsidR="000C57B5" w:rsidRPr="00B22B5C" w:rsidRDefault="000C57B5" w:rsidP="0066023A">
            <w:pPr>
              <w:spacing w:before="40" w:after="40"/>
              <w:jc w:val="both"/>
              <w:rPr>
                <w:rFonts w:ascii="Times New Roman" w:hAnsi="Times New Roman" w:cs="Times New Roman"/>
                <w:bCs/>
                <w:sz w:val="26"/>
                <w:szCs w:val="26"/>
              </w:rPr>
            </w:pPr>
            <w:r w:rsidRPr="00B22B5C">
              <w:rPr>
                <w:rFonts w:ascii="Times New Roman" w:hAnsi="Times New Roman" w:cs="Times New Roman"/>
                <w:b/>
                <w:sz w:val="26"/>
                <w:szCs w:val="26"/>
              </w:rPr>
              <w:t>Lĩnh vực Nông nghiệp và Phát triển nông thôn</w:t>
            </w:r>
          </w:p>
        </w:tc>
      </w:tr>
      <w:tr w:rsidR="00721A94" w:rsidRPr="00B22B5C" w14:paraId="1DFA2E09" w14:textId="2F6BE95A" w:rsidTr="0066023A">
        <w:tc>
          <w:tcPr>
            <w:tcW w:w="708" w:type="dxa"/>
            <w:vAlign w:val="center"/>
          </w:tcPr>
          <w:p w14:paraId="543ECCF8"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1</w:t>
            </w:r>
          </w:p>
        </w:tc>
        <w:tc>
          <w:tcPr>
            <w:tcW w:w="6330" w:type="dxa"/>
            <w:vAlign w:val="center"/>
          </w:tcPr>
          <w:p w14:paraId="084A1AFE" w14:textId="3214E4DB"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Thẩm định điều kiện an toàn thực phẩm đối với cơ sở sản xuất, kinh doanh thực phẩm nông, lâm, thủy sản có giấy chứng nhận đăng ký doanh nghiệp, chứng nhận đầu tư do Sở Kế hoạch và Đầu tư, Ủy ban nhân dân tỉnh cấp</w:t>
            </w:r>
            <w:r w:rsidR="003541A3" w:rsidRPr="00B22B5C">
              <w:rPr>
                <w:rFonts w:ascii="Times New Roman" w:hAnsi="Times New Roman" w:cs="Times New Roman"/>
                <w:sz w:val="26"/>
                <w:szCs w:val="26"/>
              </w:rPr>
              <w:t>.</w:t>
            </w:r>
          </w:p>
        </w:tc>
        <w:tc>
          <w:tcPr>
            <w:tcW w:w="2601" w:type="dxa"/>
            <w:vAlign w:val="center"/>
          </w:tcPr>
          <w:p w14:paraId="59E3DFF6" w14:textId="78D8D53D" w:rsidR="00721A94" w:rsidRPr="00B22B5C" w:rsidRDefault="00721A94" w:rsidP="0066023A">
            <w:pPr>
              <w:spacing w:before="40" w:after="40"/>
              <w:jc w:val="both"/>
              <w:rPr>
                <w:rFonts w:ascii="Times New Roman" w:hAnsi="Times New Roman" w:cs="Times New Roman"/>
                <w:bCs/>
                <w:sz w:val="26"/>
                <w:szCs w:val="26"/>
              </w:rPr>
            </w:pPr>
            <w:r w:rsidRPr="00B22B5C">
              <w:rPr>
                <w:rFonts w:ascii="Times New Roman" w:hAnsi="Times New Roman" w:cs="Times New Roman"/>
                <w:bCs/>
                <w:sz w:val="26"/>
                <w:szCs w:val="26"/>
              </w:rPr>
              <w:t>Sở Nông nghiệp và Phát triển nông thôn</w:t>
            </w:r>
          </w:p>
        </w:tc>
      </w:tr>
      <w:tr w:rsidR="00721A94" w:rsidRPr="00B22B5C" w14:paraId="5F9A0377" w14:textId="1613B809" w:rsidTr="0066023A">
        <w:tc>
          <w:tcPr>
            <w:tcW w:w="708" w:type="dxa"/>
            <w:vAlign w:val="center"/>
          </w:tcPr>
          <w:p w14:paraId="21C4C5BF"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2</w:t>
            </w:r>
          </w:p>
        </w:tc>
        <w:tc>
          <w:tcPr>
            <w:tcW w:w="6330" w:type="dxa"/>
            <w:vAlign w:val="center"/>
          </w:tcPr>
          <w:p w14:paraId="14E2E5E3" w14:textId="669C6EE9"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Phê duyệt, điều chỉnh, thiết kế dự toán công trình lâm sinh đối với công trình lâm sinh thuộc thuộc dự án do Chủ tịch Ủy ban nhân dân tỉnh quyết định đầu tư</w:t>
            </w:r>
            <w:r w:rsidR="003541A3" w:rsidRPr="00B22B5C">
              <w:rPr>
                <w:rFonts w:ascii="Times New Roman" w:hAnsi="Times New Roman" w:cs="Times New Roman"/>
                <w:sz w:val="26"/>
                <w:szCs w:val="26"/>
              </w:rPr>
              <w:t>.</w:t>
            </w:r>
          </w:p>
        </w:tc>
        <w:tc>
          <w:tcPr>
            <w:tcW w:w="2601" w:type="dxa"/>
            <w:vAlign w:val="center"/>
          </w:tcPr>
          <w:p w14:paraId="0D87F8AE" w14:textId="31797E9F"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Nông nghiệp và Phát triển nông thôn</w:t>
            </w:r>
          </w:p>
        </w:tc>
      </w:tr>
      <w:tr w:rsidR="00721A94" w:rsidRPr="00B22B5C" w14:paraId="4C54F816" w14:textId="345BE2A9" w:rsidTr="0066023A">
        <w:tc>
          <w:tcPr>
            <w:tcW w:w="708" w:type="dxa"/>
            <w:vAlign w:val="center"/>
          </w:tcPr>
          <w:p w14:paraId="3283C971"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3</w:t>
            </w:r>
          </w:p>
        </w:tc>
        <w:tc>
          <w:tcPr>
            <w:tcW w:w="6330" w:type="dxa"/>
            <w:vAlign w:val="center"/>
          </w:tcPr>
          <w:p w14:paraId="04D3CC65" w14:textId="1A57DA2E"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Quản lý tài sản kết cấu hạ tầng thủy lợi</w:t>
            </w:r>
            <w:r w:rsidR="003541A3" w:rsidRPr="00B22B5C">
              <w:rPr>
                <w:rFonts w:ascii="Times New Roman" w:hAnsi="Times New Roman" w:cs="Times New Roman"/>
                <w:sz w:val="26"/>
                <w:szCs w:val="26"/>
              </w:rPr>
              <w:t>.</w:t>
            </w:r>
          </w:p>
        </w:tc>
        <w:tc>
          <w:tcPr>
            <w:tcW w:w="2601" w:type="dxa"/>
            <w:vAlign w:val="center"/>
          </w:tcPr>
          <w:p w14:paraId="441330C1" w14:textId="1CFB5E2C"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Nông nghiệp và Phát triển nông thôn</w:t>
            </w:r>
          </w:p>
        </w:tc>
      </w:tr>
      <w:tr w:rsidR="000C57B5" w:rsidRPr="00B22B5C" w14:paraId="49D51DC6" w14:textId="77777777" w:rsidTr="0066023A">
        <w:tc>
          <w:tcPr>
            <w:tcW w:w="708" w:type="dxa"/>
            <w:vAlign w:val="center"/>
          </w:tcPr>
          <w:p w14:paraId="0C2F200B" w14:textId="232FD347" w:rsidR="000C57B5" w:rsidRPr="00B22B5C" w:rsidRDefault="000C57B5"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VIII</w:t>
            </w:r>
          </w:p>
        </w:tc>
        <w:tc>
          <w:tcPr>
            <w:tcW w:w="8931" w:type="dxa"/>
            <w:gridSpan w:val="2"/>
            <w:vAlign w:val="center"/>
          </w:tcPr>
          <w:p w14:paraId="4D9E37F2" w14:textId="5CA4B172" w:rsidR="000C57B5" w:rsidRPr="00B22B5C" w:rsidRDefault="000C57B5" w:rsidP="0066023A">
            <w:pPr>
              <w:spacing w:before="40" w:after="40"/>
              <w:jc w:val="both"/>
              <w:rPr>
                <w:rFonts w:ascii="Times New Roman" w:hAnsi="Times New Roman" w:cs="Times New Roman"/>
                <w:b/>
                <w:bCs/>
                <w:sz w:val="26"/>
                <w:szCs w:val="26"/>
              </w:rPr>
            </w:pPr>
            <w:r w:rsidRPr="00B22B5C">
              <w:rPr>
                <w:rFonts w:ascii="Times New Roman" w:hAnsi="Times New Roman" w:cs="Times New Roman"/>
                <w:b/>
                <w:sz w:val="26"/>
                <w:szCs w:val="26"/>
              </w:rPr>
              <w:t>Lĩnh vực Khoa học và Công nghệ</w:t>
            </w:r>
          </w:p>
        </w:tc>
      </w:tr>
      <w:tr w:rsidR="00721A94" w:rsidRPr="00B22B5C" w14:paraId="349FEAA6" w14:textId="633A82F1" w:rsidTr="0066023A">
        <w:tc>
          <w:tcPr>
            <w:tcW w:w="708" w:type="dxa"/>
            <w:vAlign w:val="center"/>
          </w:tcPr>
          <w:p w14:paraId="0D9FC6F5"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1</w:t>
            </w:r>
          </w:p>
        </w:tc>
        <w:tc>
          <w:tcPr>
            <w:tcW w:w="6330" w:type="dxa"/>
            <w:vAlign w:val="center"/>
          </w:tcPr>
          <w:p w14:paraId="45A0606C" w14:textId="36E3693F"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Thủ tục hành chính lĩnh vực hoạt động khoa học và công nghệ</w:t>
            </w:r>
            <w:r w:rsidR="007514B4">
              <w:rPr>
                <w:rFonts w:ascii="Times New Roman" w:hAnsi="Times New Roman" w:cs="Times New Roman"/>
                <w:sz w:val="26"/>
                <w:szCs w:val="26"/>
              </w:rPr>
              <w:t>; s</w:t>
            </w:r>
            <w:bookmarkStart w:id="0" w:name="_GoBack"/>
            <w:bookmarkEnd w:id="0"/>
            <w:r w:rsidRPr="00B22B5C">
              <w:rPr>
                <w:rFonts w:ascii="Times New Roman" w:hAnsi="Times New Roman" w:cs="Times New Roman"/>
                <w:sz w:val="26"/>
                <w:szCs w:val="26"/>
              </w:rPr>
              <w:t>ở hữu trí tuệ, năng lượng nguyên tử, an toàn bức xạ và hạt nhân</w:t>
            </w:r>
            <w:r w:rsidR="003541A3" w:rsidRPr="00B22B5C">
              <w:rPr>
                <w:rFonts w:ascii="Times New Roman" w:hAnsi="Times New Roman" w:cs="Times New Roman"/>
                <w:sz w:val="26"/>
                <w:szCs w:val="26"/>
              </w:rPr>
              <w:t>.</w:t>
            </w:r>
          </w:p>
        </w:tc>
        <w:tc>
          <w:tcPr>
            <w:tcW w:w="2601" w:type="dxa"/>
            <w:vAlign w:val="center"/>
          </w:tcPr>
          <w:p w14:paraId="56BE37FC" w14:textId="3DB2E9C3"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Khoa học và công nghệ</w:t>
            </w:r>
          </w:p>
        </w:tc>
      </w:tr>
      <w:tr w:rsidR="00721A94" w:rsidRPr="00B22B5C" w14:paraId="0F4F3562" w14:textId="5A768F9E" w:rsidTr="0066023A">
        <w:tc>
          <w:tcPr>
            <w:tcW w:w="708" w:type="dxa"/>
            <w:vAlign w:val="center"/>
          </w:tcPr>
          <w:p w14:paraId="75F9ACDB"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2</w:t>
            </w:r>
          </w:p>
        </w:tc>
        <w:tc>
          <w:tcPr>
            <w:tcW w:w="6330" w:type="dxa"/>
            <w:vAlign w:val="center"/>
          </w:tcPr>
          <w:p w14:paraId="06694380" w14:textId="6B8FB43E"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Phân cấp một số nhiệm vụ, quyền hạn trong lĩnh vực khoa học và công nghệ thuộc thẩm quyền của Ủy ban nhân dân tỉnh, bao gồ</w:t>
            </w:r>
            <w:r w:rsidR="00626AFA" w:rsidRPr="00B22B5C">
              <w:rPr>
                <w:rFonts w:ascii="Times New Roman" w:hAnsi="Times New Roman" w:cs="Times New Roman"/>
                <w:sz w:val="26"/>
                <w:szCs w:val="26"/>
              </w:rPr>
              <w:t>m: H</w:t>
            </w:r>
            <w:r w:rsidRPr="00B22B5C">
              <w:rPr>
                <w:rFonts w:ascii="Times New Roman" w:hAnsi="Times New Roman" w:cs="Times New Roman"/>
                <w:sz w:val="26"/>
                <w:szCs w:val="26"/>
              </w:rPr>
              <w:t>oạt động nghiên cứu khoa học và phát triển công nghệ; quản lý công nghệ; hoạt động sở hữu trí tuệ, hoạt động về ứng dụng, bảo đảm an toàn bức xạ và hạt nhân</w:t>
            </w:r>
            <w:r w:rsidR="003541A3" w:rsidRPr="00B22B5C">
              <w:rPr>
                <w:rFonts w:ascii="Times New Roman" w:hAnsi="Times New Roman" w:cs="Times New Roman"/>
                <w:sz w:val="26"/>
                <w:szCs w:val="26"/>
              </w:rPr>
              <w:t>.</w:t>
            </w:r>
          </w:p>
        </w:tc>
        <w:tc>
          <w:tcPr>
            <w:tcW w:w="2601" w:type="dxa"/>
            <w:vAlign w:val="center"/>
          </w:tcPr>
          <w:p w14:paraId="11708EC5" w14:textId="13BEBD3A"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Khoa học và công nghệ</w:t>
            </w:r>
          </w:p>
        </w:tc>
      </w:tr>
      <w:tr w:rsidR="000C57B5" w:rsidRPr="00B22B5C" w14:paraId="7B328F0C" w14:textId="77777777" w:rsidTr="0066023A">
        <w:tc>
          <w:tcPr>
            <w:tcW w:w="708" w:type="dxa"/>
            <w:vAlign w:val="center"/>
          </w:tcPr>
          <w:p w14:paraId="60DEB939" w14:textId="7E856B41" w:rsidR="000C57B5" w:rsidRPr="00B22B5C" w:rsidRDefault="000C57B5" w:rsidP="0066023A">
            <w:pPr>
              <w:spacing w:before="40" w:after="40"/>
              <w:jc w:val="center"/>
              <w:rPr>
                <w:rFonts w:ascii="Times New Roman" w:hAnsi="Times New Roman" w:cs="Times New Roman"/>
                <w:b/>
                <w:sz w:val="26"/>
                <w:szCs w:val="26"/>
              </w:rPr>
            </w:pPr>
            <w:r w:rsidRPr="00B22B5C">
              <w:rPr>
                <w:rFonts w:ascii="Times New Roman" w:hAnsi="Times New Roman" w:cs="Times New Roman"/>
                <w:b/>
                <w:sz w:val="26"/>
                <w:szCs w:val="26"/>
              </w:rPr>
              <w:t>IX</w:t>
            </w:r>
          </w:p>
        </w:tc>
        <w:tc>
          <w:tcPr>
            <w:tcW w:w="8931" w:type="dxa"/>
            <w:gridSpan w:val="2"/>
            <w:vAlign w:val="center"/>
          </w:tcPr>
          <w:p w14:paraId="24195730" w14:textId="42D6EDA3" w:rsidR="000C57B5" w:rsidRPr="00B22B5C" w:rsidRDefault="000C57B5" w:rsidP="0066023A">
            <w:pPr>
              <w:spacing w:before="40" w:after="40"/>
              <w:jc w:val="both"/>
              <w:rPr>
                <w:rFonts w:ascii="Times New Roman" w:hAnsi="Times New Roman" w:cs="Times New Roman"/>
                <w:b/>
                <w:bCs/>
                <w:sz w:val="26"/>
                <w:szCs w:val="26"/>
              </w:rPr>
            </w:pPr>
            <w:r w:rsidRPr="00B22B5C">
              <w:rPr>
                <w:rFonts w:ascii="Times New Roman" w:hAnsi="Times New Roman" w:cs="Times New Roman"/>
                <w:b/>
                <w:bCs/>
                <w:sz w:val="26"/>
                <w:szCs w:val="26"/>
              </w:rPr>
              <w:t>Lĩnh vực Lao độ</w:t>
            </w:r>
            <w:r w:rsidR="00626AFA" w:rsidRPr="00B22B5C">
              <w:rPr>
                <w:rFonts w:ascii="Times New Roman" w:hAnsi="Times New Roman" w:cs="Times New Roman"/>
                <w:b/>
                <w:bCs/>
                <w:sz w:val="26"/>
                <w:szCs w:val="26"/>
              </w:rPr>
              <w:t>ng -</w:t>
            </w:r>
            <w:r w:rsidRPr="00B22B5C">
              <w:rPr>
                <w:rFonts w:ascii="Times New Roman" w:hAnsi="Times New Roman" w:cs="Times New Roman"/>
                <w:b/>
                <w:bCs/>
                <w:sz w:val="26"/>
                <w:szCs w:val="26"/>
              </w:rPr>
              <w:t xml:space="preserve"> Thương binh và Xã hội</w:t>
            </w:r>
          </w:p>
        </w:tc>
      </w:tr>
      <w:tr w:rsidR="00721A94" w:rsidRPr="00B22B5C" w14:paraId="4A250173" w14:textId="30D41E5A" w:rsidTr="0066023A">
        <w:tc>
          <w:tcPr>
            <w:tcW w:w="708" w:type="dxa"/>
            <w:vAlign w:val="center"/>
          </w:tcPr>
          <w:p w14:paraId="4E08E6F5" w14:textId="77777777" w:rsidR="00721A94" w:rsidRPr="00B22B5C" w:rsidRDefault="00721A94" w:rsidP="0066023A">
            <w:pPr>
              <w:spacing w:before="40" w:after="40"/>
              <w:jc w:val="center"/>
              <w:rPr>
                <w:rFonts w:ascii="Times New Roman" w:hAnsi="Times New Roman" w:cs="Times New Roman"/>
                <w:sz w:val="26"/>
                <w:szCs w:val="26"/>
              </w:rPr>
            </w:pPr>
            <w:r w:rsidRPr="00B22B5C">
              <w:rPr>
                <w:rFonts w:ascii="Times New Roman" w:hAnsi="Times New Roman" w:cs="Times New Roman"/>
                <w:sz w:val="26"/>
                <w:szCs w:val="26"/>
              </w:rPr>
              <w:t>1</w:t>
            </w:r>
          </w:p>
        </w:tc>
        <w:tc>
          <w:tcPr>
            <w:tcW w:w="6330" w:type="dxa"/>
            <w:vAlign w:val="center"/>
          </w:tcPr>
          <w:p w14:paraId="46912AD5" w14:textId="0F3F4F05"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sz w:val="26"/>
                <w:szCs w:val="26"/>
              </w:rPr>
              <w:t>Cấp, gia hạn, cấp lại, thu hồi giấy phép hoạt động và ban hành thông báo đồng ý việc rút tiền ký quỹ hoạt động, quyết định trích tiền ký quỹ hoạt động cho thuê lại lao động các doanh nghiệp trên địa bàn tỉnh</w:t>
            </w:r>
            <w:r w:rsidR="003541A3" w:rsidRPr="00B22B5C">
              <w:rPr>
                <w:rFonts w:ascii="Times New Roman" w:hAnsi="Times New Roman" w:cs="Times New Roman"/>
                <w:sz w:val="26"/>
                <w:szCs w:val="26"/>
              </w:rPr>
              <w:t>.</w:t>
            </w:r>
          </w:p>
        </w:tc>
        <w:tc>
          <w:tcPr>
            <w:tcW w:w="2601" w:type="dxa"/>
            <w:vAlign w:val="center"/>
          </w:tcPr>
          <w:p w14:paraId="549D28C1" w14:textId="022D8736" w:rsidR="00721A94" w:rsidRPr="00B22B5C" w:rsidRDefault="00721A94" w:rsidP="0066023A">
            <w:pPr>
              <w:spacing w:before="40" w:after="40"/>
              <w:jc w:val="both"/>
              <w:rPr>
                <w:rFonts w:ascii="Times New Roman" w:hAnsi="Times New Roman" w:cs="Times New Roman"/>
                <w:sz w:val="26"/>
                <w:szCs w:val="26"/>
              </w:rPr>
            </w:pPr>
            <w:r w:rsidRPr="00B22B5C">
              <w:rPr>
                <w:rFonts w:ascii="Times New Roman" w:hAnsi="Times New Roman" w:cs="Times New Roman"/>
                <w:bCs/>
                <w:sz w:val="26"/>
                <w:szCs w:val="26"/>
              </w:rPr>
              <w:t>Sở Lao động - Thương binh và Xã hội</w:t>
            </w:r>
          </w:p>
        </w:tc>
      </w:tr>
    </w:tbl>
    <w:p w14:paraId="08B56AFA" w14:textId="77777777" w:rsidR="00023528" w:rsidRPr="00B22B5C" w:rsidRDefault="00023528" w:rsidP="00023528">
      <w:pPr>
        <w:jc w:val="center"/>
        <w:rPr>
          <w:rFonts w:ascii="Times New Roman" w:hAnsi="Times New Roman" w:cs="Times New Roman"/>
          <w:sz w:val="28"/>
          <w:szCs w:val="28"/>
        </w:rPr>
      </w:pPr>
    </w:p>
    <w:sectPr w:rsidR="00023528" w:rsidRPr="00B22B5C" w:rsidSect="00B22B5C">
      <w:headerReference w:type="default" r:id="rId9"/>
      <w:headerReference w:type="first"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9934C" w14:textId="77777777" w:rsidR="00EE7FB4" w:rsidRDefault="00EE7FB4" w:rsidP="00D17D4F">
      <w:pPr>
        <w:spacing w:after="0" w:line="240" w:lineRule="auto"/>
      </w:pPr>
      <w:r>
        <w:separator/>
      </w:r>
    </w:p>
  </w:endnote>
  <w:endnote w:type="continuationSeparator" w:id="0">
    <w:p w14:paraId="2EE2A6A0" w14:textId="77777777" w:rsidR="00EE7FB4" w:rsidRDefault="00EE7FB4" w:rsidP="00D1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Segoe UI Semi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C9F776" w14:textId="77777777" w:rsidR="00EE7FB4" w:rsidRDefault="00EE7FB4" w:rsidP="00D17D4F">
      <w:pPr>
        <w:spacing w:after="0" w:line="240" w:lineRule="auto"/>
      </w:pPr>
      <w:r>
        <w:separator/>
      </w:r>
    </w:p>
  </w:footnote>
  <w:footnote w:type="continuationSeparator" w:id="0">
    <w:p w14:paraId="60350A3C" w14:textId="77777777" w:rsidR="00EE7FB4" w:rsidRDefault="00EE7FB4" w:rsidP="00D17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57E7" w14:textId="77777777" w:rsidR="002E4E18" w:rsidRPr="00B22B5C" w:rsidRDefault="002E4E18" w:rsidP="00B22B5C">
    <w:pPr>
      <w:pStyle w:val="Header"/>
      <w:rPr>
        <w:rFonts w:ascii="Times New Roman" w:hAnsi="Times New Roman" w:cs="Times New Roman"/>
        <w:sz w:val="28"/>
        <w:szCs w:val="28"/>
      </w:rPr>
    </w:pPr>
  </w:p>
  <w:p w14:paraId="133D7E2F" w14:textId="77777777" w:rsidR="00B22B5C" w:rsidRPr="00B22B5C" w:rsidRDefault="00B22B5C" w:rsidP="00B22B5C">
    <w:pPr>
      <w:pStyle w:val="Head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FE3302" w14:textId="77777777" w:rsidR="002E4E18" w:rsidRDefault="002E4E18">
    <w:pPr>
      <w:pStyle w:val="Header"/>
      <w:jc w:val="center"/>
    </w:pPr>
  </w:p>
  <w:p w14:paraId="37F79E5B" w14:textId="77777777" w:rsidR="002E4E18" w:rsidRDefault="002E4E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C72EA"/>
    <w:multiLevelType w:val="hybridMultilevel"/>
    <w:tmpl w:val="B43AB1B4"/>
    <w:lvl w:ilvl="0" w:tplc="43E6531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528"/>
    <w:rsid w:val="00023528"/>
    <w:rsid w:val="000243F8"/>
    <w:rsid w:val="000263CF"/>
    <w:rsid w:val="0003004E"/>
    <w:rsid w:val="000309EC"/>
    <w:rsid w:val="00040AB2"/>
    <w:rsid w:val="00062443"/>
    <w:rsid w:val="0006657B"/>
    <w:rsid w:val="000753AE"/>
    <w:rsid w:val="000838B8"/>
    <w:rsid w:val="00084F5E"/>
    <w:rsid w:val="000A22E5"/>
    <w:rsid w:val="000A41CF"/>
    <w:rsid w:val="000A54F4"/>
    <w:rsid w:val="000C185F"/>
    <w:rsid w:val="000C4E4A"/>
    <w:rsid w:val="000C55B6"/>
    <w:rsid w:val="000C57B5"/>
    <w:rsid w:val="000C699F"/>
    <w:rsid w:val="000E2105"/>
    <w:rsid w:val="000E35A7"/>
    <w:rsid w:val="000E533E"/>
    <w:rsid w:val="000F17E4"/>
    <w:rsid w:val="000F1C1D"/>
    <w:rsid w:val="000F62C6"/>
    <w:rsid w:val="00101651"/>
    <w:rsid w:val="0012585B"/>
    <w:rsid w:val="00143134"/>
    <w:rsid w:val="0016311D"/>
    <w:rsid w:val="001638A4"/>
    <w:rsid w:val="00186A67"/>
    <w:rsid w:val="001874DC"/>
    <w:rsid w:val="00191F9E"/>
    <w:rsid w:val="00195DE8"/>
    <w:rsid w:val="001A4CF9"/>
    <w:rsid w:val="001B29D0"/>
    <w:rsid w:val="001C10B6"/>
    <w:rsid w:val="001D6747"/>
    <w:rsid w:val="001E00EA"/>
    <w:rsid w:val="001E2AA0"/>
    <w:rsid w:val="001F2093"/>
    <w:rsid w:val="00211C07"/>
    <w:rsid w:val="00215B30"/>
    <w:rsid w:val="00216068"/>
    <w:rsid w:val="002236E2"/>
    <w:rsid w:val="00226445"/>
    <w:rsid w:val="00235C3A"/>
    <w:rsid w:val="00257A96"/>
    <w:rsid w:val="00270A10"/>
    <w:rsid w:val="00275D46"/>
    <w:rsid w:val="00290AF1"/>
    <w:rsid w:val="002A6EF4"/>
    <w:rsid w:val="002B2235"/>
    <w:rsid w:val="002B5666"/>
    <w:rsid w:val="002D09D2"/>
    <w:rsid w:val="002D5304"/>
    <w:rsid w:val="002D71FC"/>
    <w:rsid w:val="002E4E18"/>
    <w:rsid w:val="00325D33"/>
    <w:rsid w:val="00334D28"/>
    <w:rsid w:val="00335584"/>
    <w:rsid w:val="00343F18"/>
    <w:rsid w:val="00353DE7"/>
    <w:rsid w:val="003541A3"/>
    <w:rsid w:val="003617D8"/>
    <w:rsid w:val="00364710"/>
    <w:rsid w:val="00384C85"/>
    <w:rsid w:val="003A6008"/>
    <w:rsid w:val="003A7D19"/>
    <w:rsid w:val="003A7D55"/>
    <w:rsid w:val="003C0964"/>
    <w:rsid w:val="003C16AA"/>
    <w:rsid w:val="003C24DA"/>
    <w:rsid w:val="003D3949"/>
    <w:rsid w:val="003D59FF"/>
    <w:rsid w:val="003F27B2"/>
    <w:rsid w:val="00435775"/>
    <w:rsid w:val="00465C74"/>
    <w:rsid w:val="004675B9"/>
    <w:rsid w:val="00471B7A"/>
    <w:rsid w:val="00472003"/>
    <w:rsid w:val="004771FB"/>
    <w:rsid w:val="00482FF7"/>
    <w:rsid w:val="00486D3C"/>
    <w:rsid w:val="0049091D"/>
    <w:rsid w:val="004A4C7C"/>
    <w:rsid w:val="004B5B4D"/>
    <w:rsid w:val="004C0040"/>
    <w:rsid w:val="004C13A9"/>
    <w:rsid w:val="004D5D15"/>
    <w:rsid w:val="004D645E"/>
    <w:rsid w:val="005123DA"/>
    <w:rsid w:val="00520443"/>
    <w:rsid w:val="005400D9"/>
    <w:rsid w:val="0054610C"/>
    <w:rsid w:val="00573C99"/>
    <w:rsid w:val="0058624E"/>
    <w:rsid w:val="0059401F"/>
    <w:rsid w:val="00595F51"/>
    <w:rsid w:val="00596E1F"/>
    <w:rsid w:val="005A6278"/>
    <w:rsid w:val="005C1D41"/>
    <w:rsid w:val="005C4802"/>
    <w:rsid w:val="005E0AF5"/>
    <w:rsid w:val="005E7F40"/>
    <w:rsid w:val="005F66C7"/>
    <w:rsid w:val="006006A3"/>
    <w:rsid w:val="00626AFA"/>
    <w:rsid w:val="00633636"/>
    <w:rsid w:val="00651322"/>
    <w:rsid w:val="0066023A"/>
    <w:rsid w:val="0068455C"/>
    <w:rsid w:val="00691AE8"/>
    <w:rsid w:val="006949D6"/>
    <w:rsid w:val="00696D14"/>
    <w:rsid w:val="006D7B1D"/>
    <w:rsid w:val="006E632E"/>
    <w:rsid w:val="006E77BB"/>
    <w:rsid w:val="006F0AD5"/>
    <w:rsid w:val="00700CC1"/>
    <w:rsid w:val="007054B2"/>
    <w:rsid w:val="00712EAD"/>
    <w:rsid w:val="00721A94"/>
    <w:rsid w:val="00734986"/>
    <w:rsid w:val="00746946"/>
    <w:rsid w:val="007514B4"/>
    <w:rsid w:val="00752BE4"/>
    <w:rsid w:val="0077117B"/>
    <w:rsid w:val="007736BF"/>
    <w:rsid w:val="0078737C"/>
    <w:rsid w:val="007C0EE2"/>
    <w:rsid w:val="007C3A52"/>
    <w:rsid w:val="007D2BC9"/>
    <w:rsid w:val="007D396C"/>
    <w:rsid w:val="007E7447"/>
    <w:rsid w:val="007E7F84"/>
    <w:rsid w:val="00825455"/>
    <w:rsid w:val="00826A42"/>
    <w:rsid w:val="0083024A"/>
    <w:rsid w:val="00831773"/>
    <w:rsid w:val="008435F0"/>
    <w:rsid w:val="008506C4"/>
    <w:rsid w:val="0085366D"/>
    <w:rsid w:val="00863080"/>
    <w:rsid w:val="00865EFA"/>
    <w:rsid w:val="00865F15"/>
    <w:rsid w:val="00884BB1"/>
    <w:rsid w:val="008918AF"/>
    <w:rsid w:val="008B4193"/>
    <w:rsid w:val="008B50BA"/>
    <w:rsid w:val="008B5B05"/>
    <w:rsid w:val="008D21FE"/>
    <w:rsid w:val="008E2408"/>
    <w:rsid w:val="008E5436"/>
    <w:rsid w:val="009022A3"/>
    <w:rsid w:val="00906D2F"/>
    <w:rsid w:val="00915F8F"/>
    <w:rsid w:val="0091691B"/>
    <w:rsid w:val="00926F16"/>
    <w:rsid w:val="009413FD"/>
    <w:rsid w:val="00952645"/>
    <w:rsid w:val="009640EE"/>
    <w:rsid w:val="009659E5"/>
    <w:rsid w:val="00975687"/>
    <w:rsid w:val="00975FC7"/>
    <w:rsid w:val="00987E13"/>
    <w:rsid w:val="009969F9"/>
    <w:rsid w:val="009A0A95"/>
    <w:rsid w:val="009A2515"/>
    <w:rsid w:val="009B0010"/>
    <w:rsid w:val="009B4774"/>
    <w:rsid w:val="009B4AAC"/>
    <w:rsid w:val="009B6D43"/>
    <w:rsid w:val="009B7100"/>
    <w:rsid w:val="009E453B"/>
    <w:rsid w:val="009F07C7"/>
    <w:rsid w:val="009F43FA"/>
    <w:rsid w:val="009F59B4"/>
    <w:rsid w:val="00A014A6"/>
    <w:rsid w:val="00A10C23"/>
    <w:rsid w:val="00A13E76"/>
    <w:rsid w:val="00A15B10"/>
    <w:rsid w:val="00A15E44"/>
    <w:rsid w:val="00A22396"/>
    <w:rsid w:val="00A34088"/>
    <w:rsid w:val="00A75F74"/>
    <w:rsid w:val="00A92034"/>
    <w:rsid w:val="00AA549C"/>
    <w:rsid w:val="00AA64FF"/>
    <w:rsid w:val="00AB277E"/>
    <w:rsid w:val="00AB410E"/>
    <w:rsid w:val="00AE094B"/>
    <w:rsid w:val="00AE5EEB"/>
    <w:rsid w:val="00B22B5C"/>
    <w:rsid w:val="00B27754"/>
    <w:rsid w:val="00B61527"/>
    <w:rsid w:val="00B67AFA"/>
    <w:rsid w:val="00B71D0C"/>
    <w:rsid w:val="00B83015"/>
    <w:rsid w:val="00B905A4"/>
    <w:rsid w:val="00B914E5"/>
    <w:rsid w:val="00B96560"/>
    <w:rsid w:val="00BA22FE"/>
    <w:rsid w:val="00BB0A8B"/>
    <w:rsid w:val="00BD0218"/>
    <w:rsid w:val="00BD0C72"/>
    <w:rsid w:val="00BF4CE0"/>
    <w:rsid w:val="00C04FFA"/>
    <w:rsid w:val="00C14E9B"/>
    <w:rsid w:val="00C248E0"/>
    <w:rsid w:val="00C4799F"/>
    <w:rsid w:val="00C536E1"/>
    <w:rsid w:val="00C80DA9"/>
    <w:rsid w:val="00C8214D"/>
    <w:rsid w:val="00C8558E"/>
    <w:rsid w:val="00CA038A"/>
    <w:rsid w:val="00CB1D5C"/>
    <w:rsid w:val="00CC0CAD"/>
    <w:rsid w:val="00CC1CED"/>
    <w:rsid w:val="00CC4A6B"/>
    <w:rsid w:val="00CD1904"/>
    <w:rsid w:val="00CD1FE7"/>
    <w:rsid w:val="00CD3C1F"/>
    <w:rsid w:val="00CE58BD"/>
    <w:rsid w:val="00CF2279"/>
    <w:rsid w:val="00CF4FAA"/>
    <w:rsid w:val="00D05835"/>
    <w:rsid w:val="00D1765E"/>
    <w:rsid w:val="00D17D4F"/>
    <w:rsid w:val="00D2327D"/>
    <w:rsid w:val="00D376D8"/>
    <w:rsid w:val="00D41570"/>
    <w:rsid w:val="00D476BD"/>
    <w:rsid w:val="00D62104"/>
    <w:rsid w:val="00D6335D"/>
    <w:rsid w:val="00D91927"/>
    <w:rsid w:val="00D91F9E"/>
    <w:rsid w:val="00D928BD"/>
    <w:rsid w:val="00DB2E22"/>
    <w:rsid w:val="00DB3ADC"/>
    <w:rsid w:val="00DB630F"/>
    <w:rsid w:val="00DF48EF"/>
    <w:rsid w:val="00E04DAE"/>
    <w:rsid w:val="00E10B54"/>
    <w:rsid w:val="00E24E9E"/>
    <w:rsid w:val="00E25369"/>
    <w:rsid w:val="00E5109D"/>
    <w:rsid w:val="00E713F1"/>
    <w:rsid w:val="00E75410"/>
    <w:rsid w:val="00E87DE4"/>
    <w:rsid w:val="00E9167D"/>
    <w:rsid w:val="00E91DB4"/>
    <w:rsid w:val="00E9346E"/>
    <w:rsid w:val="00E93661"/>
    <w:rsid w:val="00E946A1"/>
    <w:rsid w:val="00EB13EA"/>
    <w:rsid w:val="00EB6E34"/>
    <w:rsid w:val="00EC0850"/>
    <w:rsid w:val="00EC2E75"/>
    <w:rsid w:val="00EC57E4"/>
    <w:rsid w:val="00ED25A5"/>
    <w:rsid w:val="00ED435F"/>
    <w:rsid w:val="00EE3CDA"/>
    <w:rsid w:val="00EE7FB4"/>
    <w:rsid w:val="00EF4F3D"/>
    <w:rsid w:val="00F04072"/>
    <w:rsid w:val="00F150FA"/>
    <w:rsid w:val="00F209F1"/>
    <w:rsid w:val="00F34634"/>
    <w:rsid w:val="00F53893"/>
    <w:rsid w:val="00F601E3"/>
    <w:rsid w:val="00FC75AD"/>
    <w:rsid w:val="00FF7E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39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9F"/>
  </w:style>
  <w:style w:type="paragraph" w:styleId="Heading1">
    <w:name w:val="heading 1"/>
    <w:basedOn w:val="Normal"/>
    <w:next w:val="Normal"/>
    <w:link w:val="Heading1Char"/>
    <w:uiPriority w:val="9"/>
    <w:qFormat/>
    <w:rsid w:val="00C4799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C4799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C4799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C4799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C4799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C4799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C4799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C4799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C4799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5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7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D4F"/>
  </w:style>
  <w:style w:type="paragraph" w:styleId="Footer">
    <w:name w:val="footer"/>
    <w:basedOn w:val="Normal"/>
    <w:link w:val="FooterChar"/>
    <w:uiPriority w:val="99"/>
    <w:unhideWhenUsed/>
    <w:rsid w:val="00D17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D4F"/>
  </w:style>
  <w:style w:type="paragraph" w:styleId="ListParagraph">
    <w:name w:val="List Paragraph"/>
    <w:basedOn w:val="Normal"/>
    <w:uiPriority w:val="34"/>
    <w:qFormat/>
    <w:rsid w:val="00884BB1"/>
    <w:pPr>
      <w:ind w:left="720"/>
      <w:contextualSpacing/>
    </w:pPr>
  </w:style>
  <w:style w:type="character" w:customStyle="1" w:styleId="Heading1Char">
    <w:name w:val="Heading 1 Char"/>
    <w:basedOn w:val="DefaultParagraphFont"/>
    <w:link w:val="Heading1"/>
    <w:uiPriority w:val="9"/>
    <w:rsid w:val="00C4799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C4799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C4799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C4799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C4799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C4799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C4799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C4799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C4799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C4799F"/>
    <w:pPr>
      <w:spacing w:line="240" w:lineRule="auto"/>
    </w:pPr>
    <w:rPr>
      <w:b/>
      <w:bCs/>
      <w:smallCaps/>
      <w:color w:val="595959" w:themeColor="text1" w:themeTint="A6"/>
    </w:rPr>
  </w:style>
  <w:style w:type="paragraph" w:styleId="Title">
    <w:name w:val="Title"/>
    <w:basedOn w:val="Normal"/>
    <w:next w:val="Normal"/>
    <w:link w:val="TitleChar"/>
    <w:uiPriority w:val="10"/>
    <w:qFormat/>
    <w:rsid w:val="00C4799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4799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C4799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4799F"/>
    <w:rPr>
      <w:rFonts w:asciiTheme="majorHAnsi" w:eastAsiaTheme="majorEastAsia" w:hAnsiTheme="majorHAnsi" w:cstheme="majorBidi"/>
      <w:sz w:val="30"/>
      <w:szCs w:val="30"/>
    </w:rPr>
  </w:style>
  <w:style w:type="character" w:styleId="Strong">
    <w:name w:val="Strong"/>
    <w:basedOn w:val="DefaultParagraphFont"/>
    <w:uiPriority w:val="22"/>
    <w:qFormat/>
    <w:rsid w:val="00C4799F"/>
    <w:rPr>
      <w:b/>
      <w:bCs/>
    </w:rPr>
  </w:style>
  <w:style w:type="character" w:styleId="Emphasis">
    <w:name w:val="Emphasis"/>
    <w:basedOn w:val="DefaultParagraphFont"/>
    <w:uiPriority w:val="20"/>
    <w:qFormat/>
    <w:rsid w:val="00C4799F"/>
    <w:rPr>
      <w:i/>
      <w:iCs/>
      <w:color w:val="70AD47" w:themeColor="accent6"/>
    </w:rPr>
  </w:style>
  <w:style w:type="paragraph" w:styleId="NoSpacing">
    <w:name w:val="No Spacing"/>
    <w:uiPriority w:val="1"/>
    <w:qFormat/>
    <w:rsid w:val="00C4799F"/>
    <w:pPr>
      <w:spacing w:after="0" w:line="240" w:lineRule="auto"/>
    </w:pPr>
  </w:style>
  <w:style w:type="paragraph" w:styleId="Quote">
    <w:name w:val="Quote"/>
    <w:basedOn w:val="Normal"/>
    <w:next w:val="Normal"/>
    <w:link w:val="QuoteChar"/>
    <w:uiPriority w:val="29"/>
    <w:qFormat/>
    <w:rsid w:val="00C4799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4799F"/>
    <w:rPr>
      <w:i/>
      <w:iCs/>
      <w:color w:val="262626" w:themeColor="text1" w:themeTint="D9"/>
    </w:rPr>
  </w:style>
  <w:style w:type="paragraph" w:styleId="IntenseQuote">
    <w:name w:val="Intense Quote"/>
    <w:basedOn w:val="Normal"/>
    <w:next w:val="Normal"/>
    <w:link w:val="IntenseQuoteChar"/>
    <w:uiPriority w:val="30"/>
    <w:qFormat/>
    <w:rsid w:val="00C4799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C4799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C4799F"/>
    <w:rPr>
      <w:i/>
      <w:iCs/>
    </w:rPr>
  </w:style>
  <w:style w:type="character" w:styleId="IntenseEmphasis">
    <w:name w:val="Intense Emphasis"/>
    <w:basedOn w:val="DefaultParagraphFont"/>
    <w:uiPriority w:val="21"/>
    <w:qFormat/>
    <w:rsid w:val="00C4799F"/>
    <w:rPr>
      <w:b/>
      <w:bCs/>
      <w:i/>
      <w:iCs/>
    </w:rPr>
  </w:style>
  <w:style w:type="character" w:styleId="SubtleReference">
    <w:name w:val="Subtle Reference"/>
    <w:basedOn w:val="DefaultParagraphFont"/>
    <w:uiPriority w:val="31"/>
    <w:qFormat/>
    <w:rsid w:val="00C4799F"/>
    <w:rPr>
      <w:smallCaps/>
      <w:color w:val="595959" w:themeColor="text1" w:themeTint="A6"/>
    </w:rPr>
  </w:style>
  <w:style w:type="character" w:styleId="IntenseReference">
    <w:name w:val="Intense Reference"/>
    <w:basedOn w:val="DefaultParagraphFont"/>
    <w:uiPriority w:val="32"/>
    <w:qFormat/>
    <w:rsid w:val="00C4799F"/>
    <w:rPr>
      <w:b/>
      <w:bCs/>
      <w:smallCaps/>
      <w:color w:val="70AD47" w:themeColor="accent6"/>
    </w:rPr>
  </w:style>
  <w:style w:type="character" w:styleId="BookTitle">
    <w:name w:val="Book Title"/>
    <w:basedOn w:val="DefaultParagraphFont"/>
    <w:uiPriority w:val="33"/>
    <w:qFormat/>
    <w:rsid w:val="00C4799F"/>
    <w:rPr>
      <w:b/>
      <w:bCs/>
      <w:caps w:val="0"/>
      <w:smallCaps/>
      <w:spacing w:val="7"/>
      <w:sz w:val="21"/>
      <w:szCs w:val="21"/>
    </w:rPr>
  </w:style>
  <w:style w:type="paragraph" w:styleId="TOCHeading">
    <w:name w:val="TOC Heading"/>
    <w:basedOn w:val="Heading1"/>
    <w:next w:val="Normal"/>
    <w:uiPriority w:val="39"/>
    <w:semiHidden/>
    <w:unhideWhenUsed/>
    <w:qFormat/>
    <w:rsid w:val="00C4799F"/>
    <w:pPr>
      <w:outlineLvl w:val="9"/>
    </w:pPr>
  </w:style>
  <w:style w:type="paragraph" w:styleId="FootnoteText">
    <w:name w:val="footnote text"/>
    <w:basedOn w:val="Normal"/>
    <w:link w:val="FootnoteTextChar"/>
    <w:uiPriority w:val="99"/>
    <w:unhideWhenUsed/>
    <w:rsid w:val="003A7D55"/>
    <w:pPr>
      <w:spacing w:after="0" w:line="240" w:lineRule="auto"/>
    </w:pPr>
    <w:rPr>
      <w:sz w:val="20"/>
      <w:szCs w:val="20"/>
    </w:rPr>
  </w:style>
  <w:style w:type="character" w:customStyle="1" w:styleId="FootnoteTextChar">
    <w:name w:val="Footnote Text Char"/>
    <w:basedOn w:val="DefaultParagraphFont"/>
    <w:link w:val="FootnoteText"/>
    <w:uiPriority w:val="99"/>
    <w:rsid w:val="003A7D55"/>
    <w:rPr>
      <w:sz w:val="20"/>
      <w:szCs w:val="20"/>
    </w:rPr>
  </w:style>
  <w:style w:type="character" w:styleId="FootnoteReference">
    <w:name w:val="footnote reference"/>
    <w:basedOn w:val="DefaultParagraphFont"/>
    <w:uiPriority w:val="99"/>
    <w:semiHidden/>
    <w:unhideWhenUsed/>
    <w:rsid w:val="003A7D55"/>
    <w:rPr>
      <w:vertAlign w:val="superscript"/>
    </w:rPr>
  </w:style>
  <w:style w:type="paragraph" w:styleId="NormalWeb">
    <w:name w:val="Normal (Web)"/>
    <w:basedOn w:val="Normal"/>
    <w:link w:val="NormalWebChar"/>
    <w:uiPriority w:val="99"/>
    <w:rsid w:val="003A7D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3A7D5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99F"/>
  </w:style>
  <w:style w:type="paragraph" w:styleId="Heading1">
    <w:name w:val="heading 1"/>
    <w:basedOn w:val="Normal"/>
    <w:next w:val="Normal"/>
    <w:link w:val="Heading1Char"/>
    <w:uiPriority w:val="9"/>
    <w:qFormat/>
    <w:rsid w:val="00C4799F"/>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C4799F"/>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C4799F"/>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C4799F"/>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C4799F"/>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C4799F"/>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C4799F"/>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C4799F"/>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C4799F"/>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5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D17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D4F"/>
  </w:style>
  <w:style w:type="paragraph" w:styleId="Footer">
    <w:name w:val="footer"/>
    <w:basedOn w:val="Normal"/>
    <w:link w:val="FooterChar"/>
    <w:uiPriority w:val="99"/>
    <w:unhideWhenUsed/>
    <w:rsid w:val="00D17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D4F"/>
  </w:style>
  <w:style w:type="paragraph" w:styleId="ListParagraph">
    <w:name w:val="List Paragraph"/>
    <w:basedOn w:val="Normal"/>
    <w:uiPriority w:val="34"/>
    <w:qFormat/>
    <w:rsid w:val="00884BB1"/>
    <w:pPr>
      <w:ind w:left="720"/>
      <w:contextualSpacing/>
    </w:pPr>
  </w:style>
  <w:style w:type="character" w:customStyle="1" w:styleId="Heading1Char">
    <w:name w:val="Heading 1 Char"/>
    <w:basedOn w:val="DefaultParagraphFont"/>
    <w:link w:val="Heading1"/>
    <w:uiPriority w:val="9"/>
    <w:rsid w:val="00C4799F"/>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C4799F"/>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C4799F"/>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C4799F"/>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C4799F"/>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C4799F"/>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C4799F"/>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C4799F"/>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C4799F"/>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C4799F"/>
    <w:pPr>
      <w:spacing w:line="240" w:lineRule="auto"/>
    </w:pPr>
    <w:rPr>
      <w:b/>
      <w:bCs/>
      <w:smallCaps/>
      <w:color w:val="595959" w:themeColor="text1" w:themeTint="A6"/>
    </w:rPr>
  </w:style>
  <w:style w:type="paragraph" w:styleId="Title">
    <w:name w:val="Title"/>
    <w:basedOn w:val="Normal"/>
    <w:next w:val="Normal"/>
    <w:link w:val="TitleChar"/>
    <w:uiPriority w:val="10"/>
    <w:qFormat/>
    <w:rsid w:val="00C4799F"/>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C4799F"/>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C4799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C4799F"/>
    <w:rPr>
      <w:rFonts w:asciiTheme="majorHAnsi" w:eastAsiaTheme="majorEastAsia" w:hAnsiTheme="majorHAnsi" w:cstheme="majorBidi"/>
      <w:sz w:val="30"/>
      <w:szCs w:val="30"/>
    </w:rPr>
  </w:style>
  <w:style w:type="character" w:styleId="Strong">
    <w:name w:val="Strong"/>
    <w:basedOn w:val="DefaultParagraphFont"/>
    <w:uiPriority w:val="22"/>
    <w:qFormat/>
    <w:rsid w:val="00C4799F"/>
    <w:rPr>
      <w:b/>
      <w:bCs/>
    </w:rPr>
  </w:style>
  <w:style w:type="character" w:styleId="Emphasis">
    <w:name w:val="Emphasis"/>
    <w:basedOn w:val="DefaultParagraphFont"/>
    <w:uiPriority w:val="20"/>
    <w:qFormat/>
    <w:rsid w:val="00C4799F"/>
    <w:rPr>
      <w:i/>
      <w:iCs/>
      <w:color w:val="70AD47" w:themeColor="accent6"/>
    </w:rPr>
  </w:style>
  <w:style w:type="paragraph" w:styleId="NoSpacing">
    <w:name w:val="No Spacing"/>
    <w:uiPriority w:val="1"/>
    <w:qFormat/>
    <w:rsid w:val="00C4799F"/>
    <w:pPr>
      <w:spacing w:after="0" w:line="240" w:lineRule="auto"/>
    </w:pPr>
  </w:style>
  <w:style w:type="paragraph" w:styleId="Quote">
    <w:name w:val="Quote"/>
    <w:basedOn w:val="Normal"/>
    <w:next w:val="Normal"/>
    <w:link w:val="QuoteChar"/>
    <w:uiPriority w:val="29"/>
    <w:qFormat/>
    <w:rsid w:val="00C4799F"/>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C4799F"/>
    <w:rPr>
      <w:i/>
      <w:iCs/>
      <w:color w:val="262626" w:themeColor="text1" w:themeTint="D9"/>
    </w:rPr>
  </w:style>
  <w:style w:type="paragraph" w:styleId="IntenseQuote">
    <w:name w:val="Intense Quote"/>
    <w:basedOn w:val="Normal"/>
    <w:next w:val="Normal"/>
    <w:link w:val="IntenseQuoteChar"/>
    <w:uiPriority w:val="30"/>
    <w:qFormat/>
    <w:rsid w:val="00C4799F"/>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C4799F"/>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C4799F"/>
    <w:rPr>
      <w:i/>
      <w:iCs/>
    </w:rPr>
  </w:style>
  <w:style w:type="character" w:styleId="IntenseEmphasis">
    <w:name w:val="Intense Emphasis"/>
    <w:basedOn w:val="DefaultParagraphFont"/>
    <w:uiPriority w:val="21"/>
    <w:qFormat/>
    <w:rsid w:val="00C4799F"/>
    <w:rPr>
      <w:b/>
      <w:bCs/>
      <w:i/>
      <w:iCs/>
    </w:rPr>
  </w:style>
  <w:style w:type="character" w:styleId="SubtleReference">
    <w:name w:val="Subtle Reference"/>
    <w:basedOn w:val="DefaultParagraphFont"/>
    <w:uiPriority w:val="31"/>
    <w:qFormat/>
    <w:rsid w:val="00C4799F"/>
    <w:rPr>
      <w:smallCaps/>
      <w:color w:val="595959" w:themeColor="text1" w:themeTint="A6"/>
    </w:rPr>
  </w:style>
  <w:style w:type="character" w:styleId="IntenseReference">
    <w:name w:val="Intense Reference"/>
    <w:basedOn w:val="DefaultParagraphFont"/>
    <w:uiPriority w:val="32"/>
    <w:qFormat/>
    <w:rsid w:val="00C4799F"/>
    <w:rPr>
      <w:b/>
      <w:bCs/>
      <w:smallCaps/>
      <w:color w:val="70AD47" w:themeColor="accent6"/>
    </w:rPr>
  </w:style>
  <w:style w:type="character" w:styleId="BookTitle">
    <w:name w:val="Book Title"/>
    <w:basedOn w:val="DefaultParagraphFont"/>
    <w:uiPriority w:val="33"/>
    <w:qFormat/>
    <w:rsid w:val="00C4799F"/>
    <w:rPr>
      <w:b/>
      <w:bCs/>
      <w:caps w:val="0"/>
      <w:smallCaps/>
      <w:spacing w:val="7"/>
      <w:sz w:val="21"/>
      <w:szCs w:val="21"/>
    </w:rPr>
  </w:style>
  <w:style w:type="paragraph" w:styleId="TOCHeading">
    <w:name w:val="TOC Heading"/>
    <w:basedOn w:val="Heading1"/>
    <w:next w:val="Normal"/>
    <w:uiPriority w:val="39"/>
    <w:semiHidden/>
    <w:unhideWhenUsed/>
    <w:qFormat/>
    <w:rsid w:val="00C4799F"/>
    <w:pPr>
      <w:outlineLvl w:val="9"/>
    </w:pPr>
  </w:style>
  <w:style w:type="paragraph" w:styleId="FootnoteText">
    <w:name w:val="footnote text"/>
    <w:basedOn w:val="Normal"/>
    <w:link w:val="FootnoteTextChar"/>
    <w:uiPriority w:val="99"/>
    <w:unhideWhenUsed/>
    <w:rsid w:val="003A7D55"/>
    <w:pPr>
      <w:spacing w:after="0" w:line="240" w:lineRule="auto"/>
    </w:pPr>
    <w:rPr>
      <w:sz w:val="20"/>
      <w:szCs w:val="20"/>
    </w:rPr>
  </w:style>
  <w:style w:type="character" w:customStyle="1" w:styleId="FootnoteTextChar">
    <w:name w:val="Footnote Text Char"/>
    <w:basedOn w:val="DefaultParagraphFont"/>
    <w:link w:val="FootnoteText"/>
    <w:uiPriority w:val="99"/>
    <w:rsid w:val="003A7D55"/>
    <w:rPr>
      <w:sz w:val="20"/>
      <w:szCs w:val="20"/>
    </w:rPr>
  </w:style>
  <w:style w:type="character" w:styleId="FootnoteReference">
    <w:name w:val="footnote reference"/>
    <w:basedOn w:val="DefaultParagraphFont"/>
    <w:uiPriority w:val="99"/>
    <w:semiHidden/>
    <w:unhideWhenUsed/>
    <w:rsid w:val="003A7D55"/>
    <w:rPr>
      <w:vertAlign w:val="superscript"/>
    </w:rPr>
  </w:style>
  <w:style w:type="paragraph" w:styleId="NormalWeb">
    <w:name w:val="Normal (Web)"/>
    <w:basedOn w:val="Normal"/>
    <w:link w:val="NormalWebChar"/>
    <w:uiPriority w:val="99"/>
    <w:rsid w:val="003A7D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3A7D5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8541">
      <w:bodyDiv w:val="1"/>
      <w:marLeft w:val="0"/>
      <w:marRight w:val="0"/>
      <w:marTop w:val="0"/>
      <w:marBottom w:val="0"/>
      <w:divBdr>
        <w:top w:val="none" w:sz="0" w:space="0" w:color="auto"/>
        <w:left w:val="none" w:sz="0" w:space="0" w:color="auto"/>
        <w:bottom w:val="none" w:sz="0" w:space="0" w:color="auto"/>
        <w:right w:val="none" w:sz="0" w:space="0" w:color="auto"/>
      </w:divBdr>
    </w:div>
    <w:div w:id="42022050">
      <w:bodyDiv w:val="1"/>
      <w:marLeft w:val="0"/>
      <w:marRight w:val="0"/>
      <w:marTop w:val="0"/>
      <w:marBottom w:val="0"/>
      <w:divBdr>
        <w:top w:val="none" w:sz="0" w:space="0" w:color="auto"/>
        <w:left w:val="none" w:sz="0" w:space="0" w:color="auto"/>
        <w:bottom w:val="none" w:sz="0" w:space="0" w:color="auto"/>
        <w:right w:val="none" w:sz="0" w:space="0" w:color="auto"/>
      </w:divBdr>
    </w:div>
    <w:div w:id="82773637">
      <w:bodyDiv w:val="1"/>
      <w:marLeft w:val="0"/>
      <w:marRight w:val="0"/>
      <w:marTop w:val="0"/>
      <w:marBottom w:val="0"/>
      <w:divBdr>
        <w:top w:val="none" w:sz="0" w:space="0" w:color="auto"/>
        <w:left w:val="none" w:sz="0" w:space="0" w:color="auto"/>
        <w:bottom w:val="none" w:sz="0" w:space="0" w:color="auto"/>
        <w:right w:val="none" w:sz="0" w:space="0" w:color="auto"/>
      </w:divBdr>
    </w:div>
    <w:div w:id="89788426">
      <w:bodyDiv w:val="1"/>
      <w:marLeft w:val="0"/>
      <w:marRight w:val="0"/>
      <w:marTop w:val="0"/>
      <w:marBottom w:val="0"/>
      <w:divBdr>
        <w:top w:val="none" w:sz="0" w:space="0" w:color="auto"/>
        <w:left w:val="none" w:sz="0" w:space="0" w:color="auto"/>
        <w:bottom w:val="none" w:sz="0" w:space="0" w:color="auto"/>
        <w:right w:val="none" w:sz="0" w:space="0" w:color="auto"/>
      </w:divBdr>
    </w:div>
    <w:div w:id="121968536">
      <w:bodyDiv w:val="1"/>
      <w:marLeft w:val="0"/>
      <w:marRight w:val="0"/>
      <w:marTop w:val="0"/>
      <w:marBottom w:val="0"/>
      <w:divBdr>
        <w:top w:val="none" w:sz="0" w:space="0" w:color="auto"/>
        <w:left w:val="none" w:sz="0" w:space="0" w:color="auto"/>
        <w:bottom w:val="none" w:sz="0" w:space="0" w:color="auto"/>
        <w:right w:val="none" w:sz="0" w:space="0" w:color="auto"/>
      </w:divBdr>
    </w:div>
    <w:div w:id="345251566">
      <w:bodyDiv w:val="1"/>
      <w:marLeft w:val="0"/>
      <w:marRight w:val="0"/>
      <w:marTop w:val="0"/>
      <w:marBottom w:val="0"/>
      <w:divBdr>
        <w:top w:val="none" w:sz="0" w:space="0" w:color="auto"/>
        <w:left w:val="none" w:sz="0" w:space="0" w:color="auto"/>
        <w:bottom w:val="none" w:sz="0" w:space="0" w:color="auto"/>
        <w:right w:val="none" w:sz="0" w:space="0" w:color="auto"/>
      </w:divBdr>
    </w:div>
    <w:div w:id="369262345">
      <w:bodyDiv w:val="1"/>
      <w:marLeft w:val="0"/>
      <w:marRight w:val="0"/>
      <w:marTop w:val="0"/>
      <w:marBottom w:val="0"/>
      <w:divBdr>
        <w:top w:val="none" w:sz="0" w:space="0" w:color="auto"/>
        <w:left w:val="none" w:sz="0" w:space="0" w:color="auto"/>
        <w:bottom w:val="none" w:sz="0" w:space="0" w:color="auto"/>
        <w:right w:val="none" w:sz="0" w:space="0" w:color="auto"/>
      </w:divBdr>
    </w:div>
    <w:div w:id="496960367">
      <w:bodyDiv w:val="1"/>
      <w:marLeft w:val="0"/>
      <w:marRight w:val="0"/>
      <w:marTop w:val="0"/>
      <w:marBottom w:val="0"/>
      <w:divBdr>
        <w:top w:val="none" w:sz="0" w:space="0" w:color="auto"/>
        <w:left w:val="none" w:sz="0" w:space="0" w:color="auto"/>
        <w:bottom w:val="none" w:sz="0" w:space="0" w:color="auto"/>
        <w:right w:val="none" w:sz="0" w:space="0" w:color="auto"/>
      </w:divBdr>
    </w:div>
    <w:div w:id="533886771">
      <w:bodyDiv w:val="1"/>
      <w:marLeft w:val="0"/>
      <w:marRight w:val="0"/>
      <w:marTop w:val="0"/>
      <w:marBottom w:val="0"/>
      <w:divBdr>
        <w:top w:val="none" w:sz="0" w:space="0" w:color="auto"/>
        <w:left w:val="none" w:sz="0" w:space="0" w:color="auto"/>
        <w:bottom w:val="none" w:sz="0" w:space="0" w:color="auto"/>
        <w:right w:val="none" w:sz="0" w:space="0" w:color="auto"/>
      </w:divBdr>
    </w:div>
    <w:div w:id="616982417">
      <w:bodyDiv w:val="1"/>
      <w:marLeft w:val="0"/>
      <w:marRight w:val="0"/>
      <w:marTop w:val="0"/>
      <w:marBottom w:val="0"/>
      <w:divBdr>
        <w:top w:val="none" w:sz="0" w:space="0" w:color="auto"/>
        <w:left w:val="none" w:sz="0" w:space="0" w:color="auto"/>
        <w:bottom w:val="none" w:sz="0" w:space="0" w:color="auto"/>
        <w:right w:val="none" w:sz="0" w:space="0" w:color="auto"/>
      </w:divBdr>
    </w:div>
    <w:div w:id="733816163">
      <w:bodyDiv w:val="1"/>
      <w:marLeft w:val="0"/>
      <w:marRight w:val="0"/>
      <w:marTop w:val="0"/>
      <w:marBottom w:val="0"/>
      <w:divBdr>
        <w:top w:val="none" w:sz="0" w:space="0" w:color="auto"/>
        <w:left w:val="none" w:sz="0" w:space="0" w:color="auto"/>
        <w:bottom w:val="none" w:sz="0" w:space="0" w:color="auto"/>
        <w:right w:val="none" w:sz="0" w:space="0" w:color="auto"/>
      </w:divBdr>
    </w:div>
    <w:div w:id="843475686">
      <w:bodyDiv w:val="1"/>
      <w:marLeft w:val="0"/>
      <w:marRight w:val="0"/>
      <w:marTop w:val="0"/>
      <w:marBottom w:val="0"/>
      <w:divBdr>
        <w:top w:val="none" w:sz="0" w:space="0" w:color="auto"/>
        <w:left w:val="none" w:sz="0" w:space="0" w:color="auto"/>
        <w:bottom w:val="none" w:sz="0" w:space="0" w:color="auto"/>
        <w:right w:val="none" w:sz="0" w:space="0" w:color="auto"/>
      </w:divBdr>
    </w:div>
    <w:div w:id="1104416978">
      <w:bodyDiv w:val="1"/>
      <w:marLeft w:val="0"/>
      <w:marRight w:val="0"/>
      <w:marTop w:val="0"/>
      <w:marBottom w:val="0"/>
      <w:divBdr>
        <w:top w:val="none" w:sz="0" w:space="0" w:color="auto"/>
        <w:left w:val="none" w:sz="0" w:space="0" w:color="auto"/>
        <w:bottom w:val="none" w:sz="0" w:space="0" w:color="auto"/>
        <w:right w:val="none" w:sz="0" w:space="0" w:color="auto"/>
      </w:divBdr>
    </w:div>
    <w:div w:id="1129201098">
      <w:bodyDiv w:val="1"/>
      <w:marLeft w:val="0"/>
      <w:marRight w:val="0"/>
      <w:marTop w:val="0"/>
      <w:marBottom w:val="0"/>
      <w:divBdr>
        <w:top w:val="none" w:sz="0" w:space="0" w:color="auto"/>
        <w:left w:val="none" w:sz="0" w:space="0" w:color="auto"/>
        <w:bottom w:val="none" w:sz="0" w:space="0" w:color="auto"/>
        <w:right w:val="none" w:sz="0" w:space="0" w:color="auto"/>
      </w:divBdr>
    </w:div>
    <w:div w:id="1138911691">
      <w:bodyDiv w:val="1"/>
      <w:marLeft w:val="0"/>
      <w:marRight w:val="0"/>
      <w:marTop w:val="0"/>
      <w:marBottom w:val="0"/>
      <w:divBdr>
        <w:top w:val="none" w:sz="0" w:space="0" w:color="auto"/>
        <w:left w:val="none" w:sz="0" w:space="0" w:color="auto"/>
        <w:bottom w:val="none" w:sz="0" w:space="0" w:color="auto"/>
        <w:right w:val="none" w:sz="0" w:space="0" w:color="auto"/>
      </w:divBdr>
    </w:div>
    <w:div w:id="1290166332">
      <w:bodyDiv w:val="1"/>
      <w:marLeft w:val="0"/>
      <w:marRight w:val="0"/>
      <w:marTop w:val="0"/>
      <w:marBottom w:val="0"/>
      <w:divBdr>
        <w:top w:val="none" w:sz="0" w:space="0" w:color="auto"/>
        <w:left w:val="none" w:sz="0" w:space="0" w:color="auto"/>
        <w:bottom w:val="none" w:sz="0" w:space="0" w:color="auto"/>
        <w:right w:val="none" w:sz="0" w:space="0" w:color="auto"/>
      </w:divBdr>
    </w:div>
    <w:div w:id="1339693121">
      <w:bodyDiv w:val="1"/>
      <w:marLeft w:val="0"/>
      <w:marRight w:val="0"/>
      <w:marTop w:val="0"/>
      <w:marBottom w:val="0"/>
      <w:divBdr>
        <w:top w:val="none" w:sz="0" w:space="0" w:color="auto"/>
        <w:left w:val="none" w:sz="0" w:space="0" w:color="auto"/>
        <w:bottom w:val="none" w:sz="0" w:space="0" w:color="auto"/>
        <w:right w:val="none" w:sz="0" w:space="0" w:color="auto"/>
      </w:divBdr>
    </w:div>
    <w:div w:id="1343970691">
      <w:bodyDiv w:val="1"/>
      <w:marLeft w:val="0"/>
      <w:marRight w:val="0"/>
      <w:marTop w:val="0"/>
      <w:marBottom w:val="0"/>
      <w:divBdr>
        <w:top w:val="none" w:sz="0" w:space="0" w:color="auto"/>
        <w:left w:val="none" w:sz="0" w:space="0" w:color="auto"/>
        <w:bottom w:val="none" w:sz="0" w:space="0" w:color="auto"/>
        <w:right w:val="none" w:sz="0" w:space="0" w:color="auto"/>
      </w:divBdr>
    </w:div>
    <w:div w:id="1424956260">
      <w:bodyDiv w:val="1"/>
      <w:marLeft w:val="0"/>
      <w:marRight w:val="0"/>
      <w:marTop w:val="0"/>
      <w:marBottom w:val="0"/>
      <w:divBdr>
        <w:top w:val="none" w:sz="0" w:space="0" w:color="auto"/>
        <w:left w:val="none" w:sz="0" w:space="0" w:color="auto"/>
        <w:bottom w:val="none" w:sz="0" w:space="0" w:color="auto"/>
        <w:right w:val="none" w:sz="0" w:space="0" w:color="auto"/>
      </w:divBdr>
    </w:div>
    <w:div w:id="1430006903">
      <w:bodyDiv w:val="1"/>
      <w:marLeft w:val="0"/>
      <w:marRight w:val="0"/>
      <w:marTop w:val="0"/>
      <w:marBottom w:val="0"/>
      <w:divBdr>
        <w:top w:val="none" w:sz="0" w:space="0" w:color="auto"/>
        <w:left w:val="none" w:sz="0" w:space="0" w:color="auto"/>
        <w:bottom w:val="none" w:sz="0" w:space="0" w:color="auto"/>
        <w:right w:val="none" w:sz="0" w:space="0" w:color="auto"/>
      </w:divBdr>
    </w:div>
    <w:div w:id="1432818896">
      <w:bodyDiv w:val="1"/>
      <w:marLeft w:val="0"/>
      <w:marRight w:val="0"/>
      <w:marTop w:val="0"/>
      <w:marBottom w:val="0"/>
      <w:divBdr>
        <w:top w:val="none" w:sz="0" w:space="0" w:color="auto"/>
        <w:left w:val="none" w:sz="0" w:space="0" w:color="auto"/>
        <w:bottom w:val="none" w:sz="0" w:space="0" w:color="auto"/>
        <w:right w:val="none" w:sz="0" w:space="0" w:color="auto"/>
      </w:divBdr>
    </w:div>
    <w:div w:id="1484739276">
      <w:bodyDiv w:val="1"/>
      <w:marLeft w:val="0"/>
      <w:marRight w:val="0"/>
      <w:marTop w:val="0"/>
      <w:marBottom w:val="0"/>
      <w:divBdr>
        <w:top w:val="none" w:sz="0" w:space="0" w:color="auto"/>
        <w:left w:val="none" w:sz="0" w:space="0" w:color="auto"/>
        <w:bottom w:val="none" w:sz="0" w:space="0" w:color="auto"/>
        <w:right w:val="none" w:sz="0" w:space="0" w:color="auto"/>
      </w:divBdr>
    </w:div>
    <w:div w:id="1527253725">
      <w:bodyDiv w:val="1"/>
      <w:marLeft w:val="0"/>
      <w:marRight w:val="0"/>
      <w:marTop w:val="0"/>
      <w:marBottom w:val="0"/>
      <w:divBdr>
        <w:top w:val="none" w:sz="0" w:space="0" w:color="auto"/>
        <w:left w:val="none" w:sz="0" w:space="0" w:color="auto"/>
        <w:bottom w:val="none" w:sz="0" w:space="0" w:color="auto"/>
        <w:right w:val="none" w:sz="0" w:space="0" w:color="auto"/>
      </w:divBdr>
    </w:div>
    <w:div w:id="1709531329">
      <w:bodyDiv w:val="1"/>
      <w:marLeft w:val="0"/>
      <w:marRight w:val="0"/>
      <w:marTop w:val="0"/>
      <w:marBottom w:val="0"/>
      <w:divBdr>
        <w:top w:val="none" w:sz="0" w:space="0" w:color="auto"/>
        <w:left w:val="none" w:sz="0" w:space="0" w:color="auto"/>
        <w:bottom w:val="none" w:sz="0" w:space="0" w:color="auto"/>
        <w:right w:val="none" w:sz="0" w:space="0" w:color="auto"/>
      </w:divBdr>
    </w:div>
    <w:div w:id="1718385554">
      <w:bodyDiv w:val="1"/>
      <w:marLeft w:val="0"/>
      <w:marRight w:val="0"/>
      <w:marTop w:val="0"/>
      <w:marBottom w:val="0"/>
      <w:divBdr>
        <w:top w:val="none" w:sz="0" w:space="0" w:color="auto"/>
        <w:left w:val="none" w:sz="0" w:space="0" w:color="auto"/>
        <w:bottom w:val="none" w:sz="0" w:space="0" w:color="auto"/>
        <w:right w:val="none" w:sz="0" w:space="0" w:color="auto"/>
      </w:divBdr>
    </w:div>
    <w:div w:id="1764060050">
      <w:bodyDiv w:val="1"/>
      <w:marLeft w:val="0"/>
      <w:marRight w:val="0"/>
      <w:marTop w:val="0"/>
      <w:marBottom w:val="0"/>
      <w:divBdr>
        <w:top w:val="none" w:sz="0" w:space="0" w:color="auto"/>
        <w:left w:val="none" w:sz="0" w:space="0" w:color="auto"/>
        <w:bottom w:val="none" w:sz="0" w:space="0" w:color="auto"/>
        <w:right w:val="none" w:sz="0" w:space="0" w:color="auto"/>
      </w:divBdr>
    </w:div>
    <w:div w:id="1942105710">
      <w:bodyDiv w:val="1"/>
      <w:marLeft w:val="0"/>
      <w:marRight w:val="0"/>
      <w:marTop w:val="0"/>
      <w:marBottom w:val="0"/>
      <w:divBdr>
        <w:top w:val="none" w:sz="0" w:space="0" w:color="auto"/>
        <w:left w:val="none" w:sz="0" w:space="0" w:color="auto"/>
        <w:bottom w:val="none" w:sz="0" w:space="0" w:color="auto"/>
        <w:right w:val="none" w:sz="0" w:space="0" w:color="auto"/>
      </w:divBdr>
    </w:div>
    <w:div w:id="19710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F21BAD-D1EA-4B5A-8F4A-D31B822BA143}"/>
</file>

<file path=customXml/itemProps2.xml><?xml version="1.0" encoding="utf-8"?>
<ds:datastoreItem xmlns:ds="http://schemas.openxmlformats.org/officeDocument/2006/customXml" ds:itemID="{546B6BA6-17FE-49FF-A728-5605BF80E5F3}"/>
</file>

<file path=customXml/itemProps3.xml><?xml version="1.0" encoding="utf-8"?>
<ds:datastoreItem xmlns:ds="http://schemas.openxmlformats.org/officeDocument/2006/customXml" ds:itemID="{ACD4A377-8955-49EC-BD07-FB50897EBF25}"/>
</file>

<file path=customXml/itemProps4.xml><?xml version="1.0" encoding="utf-8"?>
<ds:datastoreItem xmlns:ds="http://schemas.openxmlformats.org/officeDocument/2006/customXml" ds:itemID="{5338DBB5-F1D5-43A3-934D-B62B11700B30}"/>
</file>

<file path=docProps/app.xml><?xml version="1.0" encoding="utf-8"?>
<Properties xmlns="http://schemas.openxmlformats.org/officeDocument/2006/extended-properties" xmlns:vt="http://schemas.openxmlformats.org/officeDocument/2006/docPropsVTypes">
  <Template>Normal</Template>
  <TotalTime>45</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 NOI VU</dc:creator>
  <cp:lastModifiedBy>DDT</cp:lastModifiedBy>
  <cp:revision>13</cp:revision>
  <cp:lastPrinted>2024-08-16T02:53:00Z</cp:lastPrinted>
  <dcterms:created xsi:type="dcterms:W3CDTF">2024-07-04T05:09:00Z</dcterms:created>
  <dcterms:modified xsi:type="dcterms:W3CDTF">2024-08-19T08:46:00Z</dcterms:modified>
</cp:coreProperties>
</file>