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6" w:type="pct"/>
        <w:tblInd w:w="108" w:type="dxa"/>
        <w:tblLook w:val="04A0" w:firstRow="1" w:lastRow="0" w:firstColumn="1" w:lastColumn="0" w:noHBand="0" w:noVBand="1"/>
      </w:tblPr>
      <w:tblGrid>
        <w:gridCol w:w="632"/>
        <w:gridCol w:w="3195"/>
        <w:gridCol w:w="1156"/>
        <w:gridCol w:w="1195"/>
        <w:gridCol w:w="1236"/>
        <w:gridCol w:w="1265"/>
        <w:gridCol w:w="6032"/>
      </w:tblGrid>
      <w:tr w:rsidR="00401AD0" w:rsidRPr="00B45F4C" w:rsidTr="00401AD0">
        <w:trPr>
          <w:trHeight w:val="20"/>
        </w:trPr>
        <w:tc>
          <w:tcPr>
            <w:tcW w:w="215" w:type="pct"/>
            <w:tcBorders>
              <w:top w:val="nil"/>
              <w:left w:val="nil"/>
              <w:bottom w:val="nil"/>
              <w:right w:val="nil"/>
            </w:tcBorders>
            <w:shd w:val="clear" w:color="000000" w:fill="FFFFFF"/>
            <w:noWrap/>
            <w:vAlign w:val="bottom"/>
            <w:hideMark/>
          </w:tcPr>
          <w:p w:rsidR="00B45F4C" w:rsidRPr="00B45F4C" w:rsidRDefault="00B45F4C" w:rsidP="00B45F4C">
            <w:pPr>
              <w:spacing w:before="0" w:line="240" w:lineRule="auto"/>
              <w:jc w:val="center"/>
              <w:rPr>
                <w:rFonts w:eastAsia="Times New Roman" w:cs="Times New Roman"/>
                <w:sz w:val="22"/>
              </w:rPr>
            </w:pPr>
            <w:bookmarkStart w:id="0" w:name="RANGE!A1:H20"/>
            <w:r w:rsidRPr="00B45F4C">
              <w:rPr>
                <w:rFonts w:eastAsia="Times New Roman" w:cs="Times New Roman"/>
                <w:sz w:val="22"/>
              </w:rPr>
              <w:t> </w:t>
            </w:r>
            <w:bookmarkEnd w:id="0"/>
          </w:p>
        </w:tc>
        <w:tc>
          <w:tcPr>
            <w:tcW w:w="1086" w:type="pct"/>
            <w:tcBorders>
              <w:top w:val="nil"/>
              <w:left w:val="nil"/>
              <w:bottom w:val="nil"/>
              <w:right w:val="nil"/>
            </w:tcBorders>
            <w:shd w:val="clear" w:color="000000" w:fill="FFFFFF"/>
            <w:noWrap/>
            <w:vAlign w:val="bottom"/>
            <w:hideMark/>
          </w:tcPr>
          <w:p w:rsidR="00B45F4C" w:rsidRPr="00B45F4C" w:rsidRDefault="00B45F4C" w:rsidP="00B45F4C">
            <w:pPr>
              <w:spacing w:before="0" w:line="240" w:lineRule="auto"/>
              <w:rPr>
                <w:rFonts w:eastAsia="Times New Roman" w:cs="Times New Roman"/>
                <w:sz w:val="22"/>
              </w:rPr>
            </w:pPr>
            <w:r w:rsidRPr="00B45F4C">
              <w:rPr>
                <w:rFonts w:eastAsia="Times New Roman" w:cs="Times New Roman"/>
                <w:sz w:val="22"/>
              </w:rPr>
              <w:t> </w:t>
            </w:r>
          </w:p>
        </w:tc>
        <w:tc>
          <w:tcPr>
            <w:tcW w:w="393" w:type="pct"/>
            <w:tcBorders>
              <w:top w:val="nil"/>
              <w:left w:val="nil"/>
              <w:bottom w:val="nil"/>
              <w:right w:val="nil"/>
            </w:tcBorders>
            <w:shd w:val="clear" w:color="000000" w:fill="FFFFFF"/>
            <w:noWrap/>
            <w:vAlign w:val="bottom"/>
            <w:hideMark/>
          </w:tcPr>
          <w:p w:rsidR="00B45F4C" w:rsidRPr="00B45F4C" w:rsidRDefault="00B45F4C" w:rsidP="00B45F4C">
            <w:pPr>
              <w:spacing w:before="0" w:line="240" w:lineRule="auto"/>
              <w:rPr>
                <w:rFonts w:eastAsia="Times New Roman" w:cs="Times New Roman"/>
                <w:sz w:val="22"/>
              </w:rPr>
            </w:pPr>
            <w:r w:rsidRPr="00B45F4C">
              <w:rPr>
                <w:rFonts w:eastAsia="Times New Roman" w:cs="Times New Roman"/>
                <w:sz w:val="22"/>
              </w:rPr>
              <w:t> </w:t>
            </w:r>
          </w:p>
        </w:tc>
        <w:tc>
          <w:tcPr>
            <w:tcW w:w="406" w:type="pct"/>
            <w:tcBorders>
              <w:top w:val="nil"/>
              <w:left w:val="nil"/>
              <w:bottom w:val="nil"/>
              <w:right w:val="nil"/>
            </w:tcBorders>
            <w:shd w:val="clear" w:color="000000" w:fill="FFFFFF"/>
            <w:noWrap/>
            <w:vAlign w:val="bottom"/>
            <w:hideMark/>
          </w:tcPr>
          <w:p w:rsidR="00B45F4C" w:rsidRPr="00B45F4C" w:rsidRDefault="00B45F4C" w:rsidP="00B45F4C">
            <w:pPr>
              <w:spacing w:before="0" w:line="240" w:lineRule="auto"/>
              <w:rPr>
                <w:rFonts w:eastAsia="Times New Roman" w:cs="Times New Roman"/>
                <w:sz w:val="22"/>
              </w:rPr>
            </w:pPr>
            <w:r w:rsidRPr="00B45F4C">
              <w:rPr>
                <w:rFonts w:eastAsia="Times New Roman" w:cs="Times New Roman"/>
                <w:sz w:val="22"/>
              </w:rPr>
              <w:t> </w:t>
            </w:r>
          </w:p>
        </w:tc>
        <w:tc>
          <w:tcPr>
            <w:tcW w:w="420" w:type="pct"/>
            <w:tcBorders>
              <w:top w:val="nil"/>
              <w:left w:val="nil"/>
              <w:bottom w:val="nil"/>
              <w:right w:val="nil"/>
            </w:tcBorders>
            <w:shd w:val="clear" w:color="000000" w:fill="FFFFFF"/>
            <w:noWrap/>
            <w:vAlign w:val="bottom"/>
            <w:hideMark/>
          </w:tcPr>
          <w:p w:rsidR="00B45F4C" w:rsidRPr="00B45F4C" w:rsidRDefault="00B45F4C" w:rsidP="00B45F4C">
            <w:pPr>
              <w:spacing w:before="0" w:line="240" w:lineRule="auto"/>
              <w:rPr>
                <w:rFonts w:eastAsia="Times New Roman" w:cs="Times New Roman"/>
                <w:sz w:val="22"/>
              </w:rPr>
            </w:pPr>
            <w:r w:rsidRPr="00B45F4C">
              <w:rPr>
                <w:rFonts w:eastAsia="Times New Roman" w:cs="Times New Roman"/>
                <w:sz w:val="22"/>
              </w:rPr>
              <w:t> </w:t>
            </w:r>
          </w:p>
        </w:tc>
        <w:tc>
          <w:tcPr>
            <w:tcW w:w="2480" w:type="pct"/>
            <w:gridSpan w:val="2"/>
            <w:tcBorders>
              <w:top w:val="nil"/>
              <w:left w:val="nil"/>
              <w:bottom w:val="nil"/>
              <w:right w:val="nil"/>
            </w:tcBorders>
            <w:shd w:val="clear" w:color="000000" w:fill="FFFFFF"/>
            <w:vAlign w:val="bottom"/>
            <w:hideMark/>
          </w:tcPr>
          <w:p w:rsidR="00B45F4C" w:rsidRPr="00B45F4C" w:rsidRDefault="00B45F4C" w:rsidP="00B45F4C">
            <w:pPr>
              <w:spacing w:before="0" w:line="240" w:lineRule="auto"/>
              <w:jc w:val="right"/>
              <w:rPr>
                <w:rFonts w:eastAsia="Times New Roman" w:cs="Times New Roman"/>
                <w:b/>
                <w:bCs/>
                <w:sz w:val="22"/>
              </w:rPr>
            </w:pPr>
            <w:r w:rsidRPr="00B45F4C">
              <w:rPr>
                <w:rFonts w:eastAsia="Times New Roman" w:cs="Times New Roman"/>
                <w:b/>
                <w:bCs/>
                <w:sz w:val="22"/>
              </w:rPr>
              <w:t>UBND THÀNH PHỐ BIÊN HÒA</w:t>
            </w:r>
          </w:p>
        </w:tc>
      </w:tr>
      <w:tr w:rsidR="00401AD0" w:rsidRPr="00B45F4C" w:rsidTr="00401AD0">
        <w:trPr>
          <w:trHeight w:val="759"/>
        </w:trPr>
        <w:tc>
          <w:tcPr>
            <w:tcW w:w="5000" w:type="pct"/>
            <w:gridSpan w:val="7"/>
            <w:tcBorders>
              <w:top w:val="nil"/>
              <w:left w:val="nil"/>
              <w:bottom w:val="single" w:sz="4" w:space="0" w:color="auto"/>
              <w:right w:val="nil"/>
            </w:tcBorders>
            <w:shd w:val="clear" w:color="auto" w:fill="auto"/>
            <w:vAlign w:val="center"/>
            <w:hideMark/>
          </w:tcPr>
          <w:p w:rsidR="00401AD0" w:rsidRDefault="00401AD0" w:rsidP="00B45F4C">
            <w:pPr>
              <w:spacing w:before="0" w:line="240" w:lineRule="auto"/>
              <w:jc w:val="center"/>
              <w:rPr>
                <w:rFonts w:eastAsia="Times New Roman" w:cs="Times New Roman"/>
                <w:b/>
                <w:bCs/>
                <w:szCs w:val="28"/>
              </w:rPr>
            </w:pPr>
          </w:p>
          <w:p w:rsidR="00401AD0" w:rsidRPr="00401AD0" w:rsidRDefault="00401AD0" w:rsidP="00B45F4C">
            <w:pPr>
              <w:spacing w:before="0" w:line="240" w:lineRule="auto"/>
              <w:jc w:val="center"/>
              <w:rPr>
                <w:rFonts w:eastAsia="Times New Roman" w:cs="Times New Roman"/>
                <w:b/>
                <w:bCs/>
                <w:szCs w:val="28"/>
              </w:rPr>
            </w:pPr>
            <w:r w:rsidRPr="00401AD0">
              <w:rPr>
                <w:rFonts w:eastAsia="Times New Roman" w:cs="Times New Roman"/>
                <w:b/>
                <w:bCs/>
                <w:szCs w:val="28"/>
              </w:rPr>
              <w:t>Phụ lục II.2</w:t>
            </w:r>
          </w:p>
          <w:p w:rsidR="00401AD0" w:rsidRPr="00401AD0" w:rsidRDefault="00401AD0" w:rsidP="00B45F4C">
            <w:pPr>
              <w:spacing w:before="0" w:line="240" w:lineRule="auto"/>
              <w:jc w:val="center"/>
              <w:rPr>
                <w:rFonts w:eastAsia="Times New Roman" w:cs="Times New Roman"/>
                <w:b/>
                <w:bCs/>
                <w:szCs w:val="28"/>
              </w:rPr>
            </w:pPr>
            <w:r w:rsidRPr="00401AD0">
              <w:rPr>
                <w:rFonts w:eastAsia="Times New Roman" w:cs="Times New Roman"/>
                <w:b/>
                <w:bCs/>
                <w:szCs w:val="28"/>
              </w:rPr>
              <w:t>DANH MỤC DỰ ÁN KÉO DÀI THỜI GIAN BỐ TRÍ VỐN</w:t>
            </w:r>
          </w:p>
          <w:p w:rsidR="00401AD0" w:rsidRDefault="006028B0" w:rsidP="00B45F4C">
            <w:pPr>
              <w:spacing w:before="0" w:line="240" w:lineRule="auto"/>
              <w:jc w:val="center"/>
              <w:rPr>
                <w:rFonts w:eastAsia="Times New Roman" w:cs="Times New Roman"/>
                <w:i/>
                <w:iCs/>
                <w:szCs w:val="28"/>
              </w:rPr>
            </w:pPr>
            <w:r>
              <w:rPr>
                <w:rFonts w:eastAsia="Times New Roman" w:cs="Times New Roman"/>
                <w:i/>
                <w:iCs/>
                <w:szCs w:val="28"/>
              </w:rPr>
              <w:t>(Kèm theo Nghị quyết số 35</w:t>
            </w:r>
            <w:r w:rsidR="00401AD0" w:rsidRPr="00401AD0">
              <w:rPr>
                <w:rFonts w:eastAsia="Times New Roman" w:cs="Times New Roman"/>
                <w:i/>
                <w:iCs/>
                <w:szCs w:val="28"/>
              </w:rPr>
              <w:t>/NQ-HĐND ngày 08 tháng 12 năm 2023 của Hội đồng nhân dân tỉnh Đồng Nai)</w:t>
            </w:r>
          </w:p>
          <w:p w:rsidR="00401AD0" w:rsidRDefault="00401AD0" w:rsidP="00B45F4C">
            <w:pPr>
              <w:spacing w:before="0" w:line="240" w:lineRule="auto"/>
              <w:jc w:val="center"/>
              <w:rPr>
                <w:rFonts w:eastAsia="Times New Roman" w:cs="Times New Roman"/>
                <w:b/>
                <w:bCs/>
                <w:szCs w:val="28"/>
              </w:rPr>
            </w:pPr>
          </w:p>
          <w:p w:rsidR="00401AD0" w:rsidRPr="00401AD0" w:rsidRDefault="00401AD0" w:rsidP="00B45F4C">
            <w:pPr>
              <w:spacing w:before="0" w:line="240" w:lineRule="auto"/>
              <w:jc w:val="center"/>
              <w:rPr>
                <w:rFonts w:eastAsia="Times New Roman" w:cs="Times New Roman"/>
                <w:b/>
                <w:bCs/>
                <w:szCs w:val="28"/>
              </w:rPr>
            </w:pPr>
          </w:p>
        </w:tc>
      </w:tr>
      <w:tr w:rsidR="00401AD0" w:rsidRPr="00B45F4C" w:rsidTr="00401AD0">
        <w:trPr>
          <w:trHeight w:val="20"/>
        </w:trPr>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b/>
                <w:bCs/>
                <w:sz w:val="22"/>
              </w:rPr>
            </w:pPr>
            <w:r w:rsidRPr="00B45F4C">
              <w:rPr>
                <w:rFonts w:eastAsia="Times New Roman" w:cs="Times New Roman"/>
                <w:b/>
                <w:bCs/>
                <w:sz w:val="22"/>
              </w:rPr>
              <w:t>STT</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b/>
                <w:bCs/>
                <w:sz w:val="22"/>
              </w:rPr>
            </w:pPr>
            <w:r w:rsidRPr="00B45F4C">
              <w:rPr>
                <w:rFonts w:eastAsia="Times New Roman" w:cs="Times New Roman"/>
                <w:b/>
                <w:bCs/>
                <w:sz w:val="22"/>
              </w:rPr>
              <w:t>Tên dự án</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b/>
                <w:bCs/>
                <w:sz w:val="22"/>
              </w:rPr>
            </w:pPr>
            <w:r w:rsidRPr="00B45F4C">
              <w:rPr>
                <w:rFonts w:eastAsia="Times New Roman" w:cs="Times New Roman"/>
                <w:b/>
                <w:bCs/>
                <w:sz w:val="22"/>
              </w:rPr>
              <w:t>Nhóm DA</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b/>
                <w:bCs/>
                <w:sz w:val="22"/>
              </w:rPr>
            </w:pPr>
            <w:r w:rsidRPr="00B45F4C">
              <w:rPr>
                <w:rFonts w:eastAsia="Times New Roman" w:cs="Times New Roman"/>
                <w:b/>
                <w:bCs/>
                <w:sz w:val="22"/>
              </w:rPr>
              <w:t>Tổng mức đầu tư</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b/>
                <w:bCs/>
                <w:sz w:val="22"/>
              </w:rPr>
            </w:pPr>
            <w:r w:rsidRPr="00B45F4C">
              <w:rPr>
                <w:rFonts w:eastAsia="Times New Roman" w:cs="Times New Roman"/>
                <w:b/>
                <w:bCs/>
                <w:sz w:val="22"/>
              </w:rPr>
              <w:t>Thời gian đã bố trí vốn thực hiện dự án</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b/>
                <w:bCs/>
                <w:sz w:val="22"/>
              </w:rPr>
            </w:pPr>
            <w:r w:rsidRPr="00B45F4C">
              <w:rPr>
                <w:rFonts w:eastAsia="Times New Roman" w:cs="Times New Roman"/>
                <w:b/>
                <w:bCs/>
                <w:sz w:val="22"/>
              </w:rPr>
              <w:t>Thời gian bố trí vốn thực hiện dự án</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b/>
                <w:bCs/>
                <w:sz w:val="22"/>
              </w:rPr>
            </w:pPr>
            <w:r w:rsidRPr="00B45F4C">
              <w:rPr>
                <w:rFonts w:eastAsia="Times New Roman" w:cs="Times New Roman"/>
                <w:b/>
                <w:bCs/>
                <w:sz w:val="22"/>
              </w:rPr>
              <w:t xml:space="preserve">Nguyên nhân </w:t>
            </w:r>
            <w:r w:rsidRPr="00B45F4C">
              <w:rPr>
                <w:rFonts w:eastAsia="Times New Roman" w:cs="Times New Roman"/>
                <w:b/>
                <w:bCs/>
                <w:sz w:val="22"/>
              </w:rPr>
              <w:br/>
              <w:t>chậm thực hiện</w:t>
            </w:r>
          </w:p>
        </w:tc>
      </w:tr>
      <w:tr w:rsidR="00401AD0" w:rsidRPr="00B45F4C" w:rsidTr="00401AD0">
        <w:trPr>
          <w:trHeight w:val="20"/>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1</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both"/>
              <w:rPr>
                <w:rFonts w:eastAsia="Times New Roman" w:cs="Times New Roman"/>
                <w:sz w:val="22"/>
              </w:rPr>
            </w:pPr>
            <w:r w:rsidRPr="00B45F4C">
              <w:rPr>
                <w:rFonts w:eastAsia="Times New Roman" w:cs="Times New Roman"/>
                <w:sz w:val="22"/>
              </w:rPr>
              <w:t>Xây dựng hạ tầng khu dân cư phục vụ tái định cư xã Tân Hạnh, thành phố Biên Hòa (quy mô 4,2 ha)</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C</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110.000</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2020-2023</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Đến năm 2024</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both"/>
              <w:rPr>
                <w:rFonts w:eastAsia="Times New Roman" w:cs="Times New Roman"/>
                <w:sz w:val="22"/>
              </w:rPr>
            </w:pPr>
            <w:r w:rsidRPr="00B45F4C">
              <w:rPr>
                <w:rFonts w:eastAsia="Times New Roman" w:cs="Times New Roman"/>
                <w:sz w:val="22"/>
              </w:rPr>
              <w:t>Vướng mắc trong công tác bồi thường giải phóng mặt bằng dự án có 65 hộ giải tỏa. Hiện nay đã bàn giao mặt bằng với diện tích 2,45</w:t>
            </w:r>
            <w:r w:rsidR="006028B0">
              <w:rPr>
                <w:rFonts w:eastAsia="Times New Roman" w:cs="Times New Roman"/>
                <w:sz w:val="22"/>
              </w:rPr>
              <w:t xml:space="preserve"> </w:t>
            </w:r>
            <w:r w:rsidRPr="00B45F4C">
              <w:rPr>
                <w:rFonts w:eastAsia="Times New Roman" w:cs="Times New Roman"/>
                <w:sz w:val="22"/>
              </w:rPr>
              <w:t>ha/4,2</w:t>
            </w:r>
            <w:r w:rsidR="006028B0">
              <w:rPr>
                <w:rFonts w:eastAsia="Times New Roman" w:cs="Times New Roman"/>
                <w:sz w:val="22"/>
              </w:rPr>
              <w:t xml:space="preserve"> </w:t>
            </w:r>
            <w:r w:rsidRPr="00B45F4C">
              <w:rPr>
                <w:rFonts w:eastAsia="Times New Roman" w:cs="Times New Roman"/>
                <w:sz w:val="22"/>
              </w:rPr>
              <w:t>ha (21/65 hộ) đã nhận tiền và di dời, còn lại các hộ đang khiếu nại khiếu kiện và xem xét bố trí tái định cư.</w:t>
            </w:r>
          </w:p>
        </w:tc>
      </w:tr>
      <w:tr w:rsidR="00401AD0" w:rsidRPr="00B45F4C" w:rsidTr="00401AD0">
        <w:trPr>
          <w:trHeight w:val="20"/>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2</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both"/>
              <w:rPr>
                <w:rFonts w:eastAsia="Times New Roman" w:cs="Times New Roman"/>
                <w:sz w:val="22"/>
              </w:rPr>
            </w:pPr>
            <w:r w:rsidRPr="00B45F4C">
              <w:rPr>
                <w:rFonts w:eastAsia="Times New Roman" w:cs="Times New Roman"/>
                <w:sz w:val="22"/>
              </w:rPr>
              <w:t>Xây dựng mở rộng chợ Hóa An, thành phố Biên hòa</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C</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80.200</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2020-2023</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Đến năm 2024</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both"/>
              <w:rPr>
                <w:rFonts w:eastAsia="Times New Roman" w:cs="Times New Roman"/>
                <w:sz w:val="22"/>
              </w:rPr>
            </w:pPr>
            <w:r w:rsidRPr="00B45F4C">
              <w:rPr>
                <w:rFonts w:eastAsia="Times New Roman" w:cs="Times New Roman"/>
                <w:sz w:val="22"/>
              </w:rPr>
              <w:t>Hồ sơ đã phê duyệt. Tuy nhiên do vướng mắc bồi thường giải phóng mặt bằng, các hộ dân chưa đồng thuận nhận tiền bàn giao mặt bằng, nên chưa thể khởi công xây dựng công trình.</w:t>
            </w:r>
          </w:p>
        </w:tc>
      </w:tr>
      <w:tr w:rsidR="00401AD0" w:rsidRPr="00B45F4C" w:rsidTr="00401AD0">
        <w:trPr>
          <w:trHeight w:val="20"/>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3</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both"/>
              <w:rPr>
                <w:rFonts w:eastAsia="Times New Roman" w:cs="Times New Roman"/>
                <w:sz w:val="22"/>
              </w:rPr>
            </w:pPr>
            <w:r w:rsidRPr="00B45F4C">
              <w:rPr>
                <w:rFonts w:eastAsia="Times New Roman" w:cs="Times New Roman"/>
                <w:sz w:val="22"/>
              </w:rPr>
              <w:t>Khu dân cư phục vụ tái định cư phường Tam Hiệp (9,4</w:t>
            </w:r>
            <w:r w:rsidR="006028B0">
              <w:rPr>
                <w:rFonts w:eastAsia="Times New Roman" w:cs="Times New Roman"/>
                <w:sz w:val="22"/>
              </w:rPr>
              <w:t xml:space="preserve"> </w:t>
            </w:r>
            <w:r w:rsidRPr="00B45F4C">
              <w:rPr>
                <w:rFonts w:eastAsia="Times New Roman" w:cs="Times New Roman"/>
                <w:sz w:val="22"/>
              </w:rPr>
              <w:t>ha)</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B</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715.544</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2020-2023</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Đến năm 2024</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both"/>
              <w:rPr>
                <w:rFonts w:eastAsia="Times New Roman" w:cs="Times New Roman"/>
                <w:sz w:val="22"/>
              </w:rPr>
            </w:pPr>
            <w:r w:rsidRPr="00B45F4C">
              <w:rPr>
                <w:rFonts w:eastAsia="Times New Roman" w:cs="Times New Roman"/>
                <w:sz w:val="22"/>
              </w:rPr>
              <w:t>Vướng mắc trong công tác bồi thường giải phóng mặt bằng. Dự án được phân kỳ đầu tư trước giai đoạn 1 - 6,2</w:t>
            </w:r>
            <w:r w:rsidR="006028B0">
              <w:rPr>
                <w:rFonts w:eastAsia="Times New Roman" w:cs="Times New Roman"/>
                <w:sz w:val="22"/>
              </w:rPr>
              <w:t xml:space="preserve"> </w:t>
            </w:r>
            <w:r w:rsidRPr="00B45F4C">
              <w:rPr>
                <w:rFonts w:eastAsia="Times New Roman" w:cs="Times New Roman"/>
                <w:sz w:val="22"/>
              </w:rPr>
              <w:t>ha đã có mặt bằng. Diện tích còn lại 3,2</w:t>
            </w:r>
            <w:r w:rsidR="006028B0">
              <w:rPr>
                <w:rFonts w:eastAsia="Times New Roman" w:cs="Times New Roman"/>
                <w:sz w:val="22"/>
              </w:rPr>
              <w:t xml:space="preserve"> </w:t>
            </w:r>
            <w:r w:rsidRPr="00B45F4C">
              <w:rPr>
                <w:rFonts w:eastAsia="Times New Roman" w:cs="Times New Roman"/>
                <w:sz w:val="22"/>
              </w:rPr>
              <w:t>ha sẽ tiếp tục triển khai đầu tư xây dựng khi hoàn thành công tác bồi thường giải phóng mặt bằng.</w:t>
            </w:r>
          </w:p>
        </w:tc>
      </w:tr>
      <w:tr w:rsidR="00401AD0" w:rsidRPr="00B45F4C" w:rsidTr="00401AD0">
        <w:trPr>
          <w:trHeight w:val="20"/>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4</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both"/>
              <w:rPr>
                <w:rFonts w:eastAsia="Times New Roman" w:cs="Times New Roman"/>
                <w:sz w:val="22"/>
              </w:rPr>
            </w:pPr>
            <w:r w:rsidRPr="00B45F4C">
              <w:rPr>
                <w:rFonts w:eastAsia="Times New Roman" w:cs="Times New Roman"/>
                <w:sz w:val="22"/>
              </w:rPr>
              <w:t>Xây dựng hạ tầng khu tái định cư phường Thống Nhất và phường Tân Mai, thành phố Biên Hòa</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B</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825.796</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2020-2023</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Đến năm 2024</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both"/>
              <w:rPr>
                <w:rFonts w:eastAsia="Times New Roman" w:cs="Times New Roman"/>
                <w:sz w:val="22"/>
              </w:rPr>
            </w:pPr>
            <w:r w:rsidRPr="00B45F4C">
              <w:rPr>
                <w:rFonts w:eastAsia="Times New Roman" w:cs="Times New Roman"/>
                <w:sz w:val="22"/>
              </w:rPr>
              <w:t>Vướng mắc trong công tác bồi thường giải phóng mặt bằng, còn nhiều hộ dân chưa đồng thuận nhận tiền bồi thường. Tỷ lệ hộ dân nhận tiền đạt 51,6% (73 hộ dân nhận số tiền tương đương 235,4 tỷ đồng) với lý do giá bồi thường thấp so với giá thị trường. Thu hồi đất chậm, ảnh hưởng đến tiến độ thi công dự án, kéo dài thời gian thực hiện dự án.</w:t>
            </w:r>
          </w:p>
        </w:tc>
      </w:tr>
      <w:tr w:rsidR="00401AD0" w:rsidRPr="00B45F4C" w:rsidTr="00401AD0">
        <w:trPr>
          <w:trHeight w:val="20"/>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4C" w:rsidRPr="00B45F4C" w:rsidRDefault="00B45F4C" w:rsidP="00FB5D3D">
            <w:pPr>
              <w:spacing w:before="60" w:after="60" w:line="240" w:lineRule="auto"/>
              <w:jc w:val="center"/>
              <w:rPr>
                <w:rFonts w:eastAsia="Times New Roman" w:cs="Times New Roman"/>
                <w:sz w:val="22"/>
              </w:rPr>
            </w:pPr>
            <w:bookmarkStart w:id="1" w:name="_GoBack" w:colFirst="0" w:colLast="6"/>
            <w:r w:rsidRPr="00B45F4C">
              <w:rPr>
                <w:rFonts w:eastAsia="Times New Roman" w:cs="Times New Roman"/>
                <w:sz w:val="22"/>
              </w:rPr>
              <w:t>5</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both"/>
              <w:rPr>
                <w:rFonts w:eastAsia="Times New Roman" w:cs="Times New Roman"/>
                <w:sz w:val="22"/>
              </w:rPr>
            </w:pPr>
            <w:r w:rsidRPr="00B45F4C">
              <w:rPr>
                <w:rFonts w:eastAsia="Times New Roman" w:cs="Times New Roman"/>
                <w:sz w:val="22"/>
              </w:rPr>
              <w:t>Xây dựng hạ tầng khu tái định cư phường Thống Nhất</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C</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52.000</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2020-2023</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center"/>
              <w:rPr>
                <w:rFonts w:eastAsia="Times New Roman" w:cs="Times New Roman"/>
                <w:sz w:val="22"/>
              </w:rPr>
            </w:pPr>
            <w:r w:rsidRPr="00B45F4C">
              <w:rPr>
                <w:rFonts w:eastAsia="Times New Roman" w:cs="Times New Roman"/>
                <w:sz w:val="22"/>
              </w:rPr>
              <w:t>Đến năm 2024</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FB5D3D">
            <w:pPr>
              <w:spacing w:before="60" w:after="60" w:line="240" w:lineRule="auto"/>
              <w:jc w:val="both"/>
              <w:rPr>
                <w:rFonts w:eastAsia="Times New Roman" w:cs="Times New Roman"/>
                <w:sz w:val="22"/>
              </w:rPr>
            </w:pPr>
            <w:r w:rsidRPr="00B45F4C">
              <w:rPr>
                <w:rFonts w:eastAsia="Times New Roman" w:cs="Times New Roman"/>
                <w:sz w:val="22"/>
              </w:rPr>
              <w:t>Vướng mắc bồi thường, hỗ trợ tái định cư: Có 65 hộ giải tỏa (50 hộ giải tỏa trắng - GTT). Hiện nay đã bàn giao mặt bằng với diện tích 2.523</w:t>
            </w:r>
            <w:r w:rsidR="006028B0">
              <w:rPr>
                <w:rFonts w:eastAsia="Times New Roman" w:cs="Times New Roman"/>
                <w:sz w:val="22"/>
              </w:rPr>
              <w:t xml:space="preserve"> </w:t>
            </w:r>
            <w:r w:rsidRPr="00B45F4C">
              <w:rPr>
                <w:rFonts w:eastAsia="Times New Roman" w:cs="Times New Roman"/>
                <w:sz w:val="22"/>
              </w:rPr>
              <w:t>m</w:t>
            </w:r>
            <w:r w:rsidRPr="006028B0">
              <w:rPr>
                <w:rFonts w:eastAsia="Times New Roman" w:cs="Times New Roman"/>
                <w:sz w:val="22"/>
                <w:vertAlign w:val="superscript"/>
              </w:rPr>
              <w:t>2</w:t>
            </w:r>
            <w:r w:rsidRPr="00B45F4C">
              <w:rPr>
                <w:rFonts w:eastAsia="Times New Roman" w:cs="Times New Roman"/>
                <w:sz w:val="22"/>
              </w:rPr>
              <w:t xml:space="preserve"> (24/65 hộ) đã nhận tiền và di dời, còn lại các hộ do diện tích nhà đất nhỏ đang được đoàn công tác thành phố kiểm tra hiện trạng xem xét bố trí tái định cư.</w:t>
            </w:r>
          </w:p>
        </w:tc>
      </w:tr>
      <w:bookmarkEnd w:id="1"/>
      <w:tr w:rsidR="00401AD0" w:rsidRPr="00B45F4C" w:rsidTr="00401AD0">
        <w:trPr>
          <w:trHeight w:val="20"/>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lastRenderedPageBreak/>
              <w:t>6</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both"/>
              <w:rPr>
                <w:rFonts w:eastAsia="Times New Roman" w:cs="Times New Roman"/>
                <w:sz w:val="22"/>
              </w:rPr>
            </w:pPr>
            <w:r w:rsidRPr="00B45F4C">
              <w:rPr>
                <w:rFonts w:eastAsia="Times New Roman" w:cs="Times New Roman"/>
                <w:sz w:val="22"/>
              </w:rPr>
              <w:t>Trường THCS Ngô Nhơn Tịnh thành phố Biên Hòa</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B</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104.202</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2020-2023</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Đến năm 2024</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both"/>
              <w:rPr>
                <w:rFonts w:eastAsia="Times New Roman" w:cs="Times New Roman"/>
                <w:sz w:val="22"/>
              </w:rPr>
            </w:pPr>
            <w:r w:rsidRPr="00B45F4C">
              <w:rPr>
                <w:rFonts w:eastAsia="Times New Roman" w:cs="Times New Roman"/>
                <w:sz w:val="22"/>
              </w:rPr>
              <w:t>Chưa hoàn thành công tác bồi thường giải phóng mặt bằng, các hộ dân không đồng ý nhận tiền bồi thường và chưa bàn giao mặt bằng. Tổng số hộ bị giải tỏa là 32 hộ + 02 tổ chức (16 hộ GTT). 27/34 hộ đã có quyết định phê duyệt phương án bồi thường, đã nhận tiền 14/27 và đã bàn giao mặt bằng được 2.560</w:t>
            </w:r>
            <w:r w:rsidR="006028B0">
              <w:rPr>
                <w:rFonts w:eastAsia="Times New Roman" w:cs="Times New Roman"/>
                <w:sz w:val="22"/>
              </w:rPr>
              <w:t xml:space="preserve"> </w:t>
            </w:r>
            <w:r w:rsidRPr="00B45F4C">
              <w:rPr>
                <w:rFonts w:eastAsia="Times New Roman" w:cs="Times New Roman"/>
                <w:sz w:val="22"/>
              </w:rPr>
              <w:t>m</w:t>
            </w:r>
            <w:r w:rsidRPr="006028B0">
              <w:rPr>
                <w:rFonts w:eastAsia="Times New Roman" w:cs="Times New Roman"/>
                <w:sz w:val="22"/>
                <w:vertAlign w:val="superscript"/>
              </w:rPr>
              <w:t>2</w:t>
            </w:r>
          </w:p>
        </w:tc>
      </w:tr>
      <w:tr w:rsidR="00401AD0" w:rsidRPr="00B45F4C" w:rsidTr="00401AD0">
        <w:trPr>
          <w:trHeight w:val="20"/>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7</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6028B0" w:rsidP="00401AD0">
            <w:pPr>
              <w:spacing w:before="40" w:after="40" w:line="240" w:lineRule="auto"/>
              <w:jc w:val="both"/>
              <w:rPr>
                <w:rFonts w:eastAsia="Times New Roman" w:cs="Times New Roman"/>
                <w:sz w:val="22"/>
              </w:rPr>
            </w:pPr>
            <w:r>
              <w:rPr>
                <w:rFonts w:eastAsia="Times New Roman" w:cs="Times New Roman"/>
                <w:sz w:val="22"/>
              </w:rPr>
              <w:t>Xây dựng T</w:t>
            </w:r>
            <w:r w:rsidR="00B45F4C" w:rsidRPr="00B45F4C">
              <w:rPr>
                <w:rFonts w:eastAsia="Times New Roman" w:cs="Times New Roman"/>
                <w:sz w:val="22"/>
              </w:rPr>
              <w:t>rường TH Phan Đăng Lưu, thành phố Biên Hòa</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B</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70.725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2020-2023</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Đến năm 2024</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both"/>
              <w:rPr>
                <w:rFonts w:eastAsia="Times New Roman" w:cs="Times New Roman"/>
                <w:sz w:val="22"/>
              </w:rPr>
            </w:pPr>
            <w:r w:rsidRPr="00B45F4C">
              <w:rPr>
                <w:rFonts w:eastAsia="Times New Roman" w:cs="Times New Roman"/>
                <w:sz w:val="22"/>
              </w:rPr>
              <w:t>Chưa hoàn thành công tác bồi thường giải phóng mặt bằng, các hộ dân không đồng ý nhận tiền bồi thường và chưa bàn giao mặt bằng. Tổng số hộ giải tỏa là 30 hộ GTT, đã có quyết định phê duyệt phương án bồi thường 30/30 hộ (17 hộ đã nhận tiền), các hộ dân chưa bàn giao mặt bằng và đang xét tái định cư.</w:t>
            </w:r>
          </w:p>
        </w:tc>
      </w:tr>
      <w:tr w:rsidR="00401AD0" w:rsidRPr="00B45F4C" w:rsidTr="00401AD0">
        <w:trPr>
          <w:trHeight w:val="20"/>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8</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6028B0" w:rsidP="00401AD0">
            <w:pPr>
              <w:spacing w:before="40" w:after="40" w:line="240" w:lineRule="auto"/>
              <w:jc w:val="both"/>
              <w:rPr>
                <w:rFonts w:eastAsia="Times New Roman" w:cs="Times New Roman"/>
                <w:sz w:val="22"/>
              </w:rPr>
            </w:pPr>
            <w:r>
              <w:rPr>
                <w:rFonts w:eastAsia="Times New Roman" w:cs="Times New Roman"/>
                <w:sz w:val="22"/>
              </w:rPr>
              <w:t>Xây dựng T</w:t>
            </w:r>
            <w:r w:rsidR="00B45F4C" w:rsidRPr="00B45F4C">
              <w:rPr>
                <w:rFonts w:eastAsia="Times New Roman" w:cs="Times New Roman"/>
                <w:sz w:val="22"/>
              </w:rPr>
              <w:t>rường TH Tân Hiệp, thành phố Biên Hòa</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B</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116.000</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2020-2023</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Đến năm 2024</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both"/>
              <w:rPr>
                <w:rFonts w:eastAsia="Times New Roman" w:cs="Times New Roman"/>
                <w:sz w:val="22"/>
              </w:rPr>
            </w:pPr>
            <w:r w:rsidRPr="00B45F4C">
              <w:rPr>
                <w:rFonts w:eastAsia="Times New Roman" w:cs="Times New Roman"/>
                <w:sz w:val="22"/>
              </w:rPr>
              <w:t>Vướng mắc trong công tác bồi thường giải phóng mặt bằng. Các hộ dân không đồng thuận và không nhận tiền (đã phê duyệt phương án bồi thường được 22/32 hộ), các hộ dân mua bán sang tay nhiều nên chưa thể hoàn thành công tác bồi thường.</w:t>
            </w:r>
          </w:p>
        </w:tc>
      </w:tr>
      <w:tr w:rsidR="00401AD0" w:rsidRPr="00B45F4C" w:rsidTr="00401AD0">
        <w:trPr>
          <w:trHeight w:val="20"/>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9</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6028B0">
            <w:pPr>
              <w:spacing w:before="40" w:after="40" w:line="240" w:lineRule="auto"/>
              <w:jc w:val="both"/>
              <w:rPr>
                <w:rFonts w:eastAsia="Times New Roman" w:cs="Times New Roman"/>
                <w:sz w:val="22"/>
              </w:rPr>
            </w:pPr>
            <w:r w:rsidRPr="00B45F4C">
              <w:rPr>
                <w:rFonts w:eastAsia="Times New Roman" w:cs="Times New Roman"/>
                <w:sz w:val="22"/>
              </w:rPr>
              <w:t xml:space="preserve">Trường </w:t>
            </w:r>
            <w:r w:rsidR="006028B0">
              <w:rPr>
                <w:rFonts w:eastAsia="Times New Roman" w:cs="Times New Roman"/>
                <w:sz w:val="22"/>
              </w:rPr>
              <w:t>T</w:t>
            </w:r>
            <w:r w:rsidRPr="00B45F4C">
              <w:rPr>
                <w:rFonts w:eastAsia="Times New Roman" w:cs="Times New Roman"/>
                <w:sz w:val="22"/>
              </w:rPr>
              <w:t>iểu học Long Bình 1</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B</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190.000</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2020-2023</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Đến năm 2024</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both"/>
              <w:rPr>
                <w:rFonts w:eastAsia="Times New Roman" w:cs="Times New Roman"/>
                <w:sz w:val="22"/>
              </w:rPr>
            </w:pPr>
            <w:r w:rsidRPr="00B45F4C">
              <w:rPr>
                <w:rFonts w:eastAsia="Times New Roman" w:cs="Times New Roman"/>
                <w:sz w:val="22"/>
              </w:rPr>
              <w:t>Do điều chỉnh chủ trương đầu tư và phân kỳ đầu tư, vướng mắc trong công tác bồi thường giải phóng mặt bằng.</w:t>
            </w:r>
          </w:p>
        </w:tc>
      </w:tr>
      <w:tr w:rsidR="00401AD0" w:rsidRPr="00B45F4C" w:rsidTr="00401AD0">
        <w:trPr>
          <w:trHeight w:val="20"/>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10</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both"/>
              <w:rPr>
                <w:rFonts w:eastAsia="Times New Roman" w:cs="Times New Roman"/>
                <w:sz w:val="22"/>
              </w:rPr>
            </w:pPr>
            <w:r w:rsidRPr="00B45F4C">
              <w:rPr>
                <w:rFonts w:eastAsia="Times New Roman" w:cs="Times New Roman"/>
                <w:sz w:val="22"/>
              </w:rPr>
              <w:t xml:space="preserve">Mở rộng Trường THCS Hòa Hưng tại phường An Hòa </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C</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10.795</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2020-2023</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Đến năm 2024</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both"/>
              <w:rPr>
                <w:rFonts w:eastAsia="Times New Roman" w:cs="Times New Roman"/>
                <w:sz w:val="22"/>
              </w:rPr>
            </w:pPr>
            <w:r w:rsidRPr="00B45F4C">
              <w:rPr>
                <w:rFonts w:eastAsia="Times New Roman" w:cs="Times New Roman"/>
                <w:sz w:val="22"/>
              </w:rPr>
              <w:t>Vướng mắc trong công tác bồi thường giải phóng mặt bằng. Các hộ dân không đồng thuận và không nhận tiền</w:t>
            </w:r>
          </w:p>
        </w:tc>
      </w:tr>
      <w:tr w:rsidR="00401AD0" w:rsidRPr="00B45F4C" w:rsidTr="00401AD0">
        <w:trPr>
          <w:trHeight w:val="20"/>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11</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both"/>
              <w:rPr>
                <w:rFonts w:eastAsia="Times New Roman" w:cs="Times New Roman"/>
                <w:sz w:val="22"/>
              </w:rPr>
            </w:pPr>
            <w:r w:rsidRPr="00B45F4C">
              <w:rPr>
                <w:rFonts w:eastAsia="Times New Roman" w:cs="Times New Roman"/>
                <w:sz w:val="22"/>
              </w:rPr>
              <w:t>Xây dựng hệ thống thoát nước khu vực Quốc lộ 51 và khu phố Bình Dương, phường Long Bình Tân</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C</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88.580</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2020-2023</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Đến năm 2024</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both"/>
              <w:rPr>
                <w:rFonts w:eastAsia="Times New Roman" w:cs="Times New Roman"/>
                <w:sz w:val="22"/>
              </w:rPr>
            </w:pPr>
            <w:r w:rsidRPr="00B45F4C">
              <w:rPr>
                <w:rFonts w:eastAsia="Times New Roman" w:cs="Times New Roman"/>
                <w:sz w:val="22"/>
              </w:rPr>
              <w:t>Do điều chỉnh báo cáo nghiên cứu khả thi. Khởi công trong thời gian mưa, bão gây chậm tiến độ hoàn thành công trình</w:t>
            </w:r>
          </w:p>
        </w:tc>
      </w:tr>
      <w:tr w:rsidR="00401AD0" w:rsidRPr="00B45F4C" w:rsidTr="00401AD0">
        <w:trPr>
          <w:trHeight w:val="20"/>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12</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both"/>
              <w:rPr>
                <w:rFonts w:eastAsia="Times New Roman" w:cs="Times New Roman"/>
                <w:sz w:val="22"/>
              </w:rPr>
            </w:pPr>
            <w:r w:rsidRPr="00B45F4C">
              <w:rPr>
                <w:rFonts w:eastAsia="Times New Roman" w:cs="Times New Roman"/>
                <w:sz w:val="22"/>
              </w:rPr>
              <w:t>Xây dựng Trường THCS Tân Hạnh</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B</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93.362</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2020-2023</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Đến năm 2024</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both"/>
              <w:rPr>
                <w:rFonts w:eastAsia="Times New Roman" w:cs="Times New Roman"/>
                <w:sz w:val="22"/>
              </w:rPr>
            </w:pPr>
            <w:r w:rsidRPr="00B45F4C">
              <w:rPr>
                <w:rFonts w:eastAsia="Times New Roman" w:cs="Times New Roman"/>
                <w:sz w:val="22"/>
              </w:rPr>
              <w:t>Vướng mắc trong công tác bồi thường giải phóng mặt bằng</w:t>
            </w:r>
          </w:p>
        </w:tc>
      </w:tr>
      <w:tr w:rsidR="00401AD0" w:rsidRPr="00B45F4C" w:rsidTr="00401AD0">
        <w:trPr>
          <w:trHeight w:val="20"/>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13</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6028B0" w:rsidP="00401AD0">
            <w:pPr>
              <w:spacing w:before="40" w:after="40" w:line="240" w:lineRule="auto"/>
              <w:jc w:val="both"/>
              <w:rPr>
                <w:rFonts w:eastAsia="Times New Roman" w:cs="Times New Roman"/>
                <w:sz w:val="22"/>
              </w:rPr>
            </w:pPr>
            <w:r>
              <w:rPr>
                <w:rFonts w:eastAsia="Times New Roman" w:cs="Times New Roman"/>
                <w:sz w:val="22"/>
              </w:rPr>
              <w:t>Xây dựng mới đường vào T</w:t>
            </w:r>
            <w:r w:rsidR="00B45F4C" w:rsidRPr="00B45F4C">
              <w:rPr>
                <w:rFonts w:eastAsia="Times New Roman" w:cs="Times New Roman"/>
                <w:sz w:val="22"/>
              </w:rPr>
              <w:t>rường THCS Tân Hiệp</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C</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11.593</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2020-2023</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Đến năm 2024</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both"/>
              <w:rPr>
                <w:rFonts w:eastAsia="Times New Roman" w:cs="Times New Roman"/>
                <w:sz w:val="22"/>
              </w:rPr>
            </w:pPr>
            <w:r w:rsidRPr="00B45F4C">
              <w:rPr>
                <w:rFonts w:eastAsia="Times New Roman" w:cs="Times New Roman"/>
                <w:sz w:val="22"/>
              </w:rPr>
              <w:t>Vướng mắc trong công tác bồi thường giải phóng mặt bằng. Hiện đang thi công cuốn chiếu khi nhận được mặt bằng.</w:t>
            </w:r>
          </w:p>
        </w:tc>
      </w:tr>
      <w:tr w:rsidR="00401AD0" w:rsidRPr="00B45F4C" w:rsidTr="00401AD0">
        <w:trPr>
          <w:trHeight w:val="20"/>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14</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6028B0">
            <w:pPr>
              <w:spacing w:before="40" w:after="40" w:line="240" w:lineRule="auto"/>
              <w:jc w:val="both"/>
              <w:rPr>
                <w:rFonts w:eastAsia="Times New Roman" w:cs="Times New Roman"/>
                <w:sz w:val="22"/>
              </w:rPr>
            </w:pPr>
            <w:r w:rsidRPr="00B45F4C">
              <w:rPr>
                <w:rFonts w:eastAsia="Times New Roman" w:cs="Times New Roman"/>
                <w:sz w:val="22"/>
              </w:rPr>
              <w:t xml:space="preserve">Xây dựng đường vào </w:t>
            </w:r>
            <w:r w:rsidR="006028B0">
              <w:rPr>
                <w:rFonts w:eastAsia="Times New Roman" w:cs="Times New Roman"/>
                <w:sz w:val="22"/>
              </w:rPr>
              <w:t>Trường M</w:t>
            </w:r>
            <w:r w:rsidRPr="00B45F4C">
              <w:rPr>
                <w:rFonts w:eastAsia="Times New Roman" w:cs="Times New Roman"/>
                <w:sz w:val="22"/>
              </w:rPr>
              <w:t xml:space="preserve">ầm non Tân Tiến và </w:t>
            </w:r>
            <w:r w:rsidR="006028B0">
              <w:rPr>
                <w:rFonts w:eastAsia="Times New Roman" w:cs="Times New Roman"/>
                <w:sz w:val="22"/>
              </w:rPr>
              <w:t>T</w:t>
            </w:r>
            <w:r w:rsidRPr="00B45F4C">
              <w:rPr>
                <w:rFonts w:eastAsia="Times New Roman" w:cs="Times New Roman"/>
                <w:sz w:val="22"/>
              </w:rPr>
              <w:t>iểu học Tân Tiến A</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C</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40.000</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2020-2023</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Đến năm 2024</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both"/>
              <w:rPr>
                <w:rFonts w:eastAsia="Times New Roman" w:cs="Times New Roman"/>
                <w:sz w:val="22"/>
              </w:rPr>
            </w:pPr>
            <w:r w:rsidRPr="00B45F4C">
              <w:rPr>
                <w:rFonts w:eastAsia="Times New Roman" w:cs="Times New Roman"/>
                <w:sz w:val="22"/>
              </w:rPr>
              <w:t>Công trình đã triển khai thi công, do vướng mắc trong công tác giải phóng mặt bằng nên kéo dài đến sang năm 2024 hoàn thành công trình.</w:t>
            </w:r>
          </w:p>
        </w:tc>
      </w:tr>
      <w:tr w:rsidR="00401AD0" w:rsidRPr="00B45F4C" w:rsidTr="00401AD0">
        <w:trPr>
          <w:trHeight w:val="20"/>
        </w:trPr>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15</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both"/>
              <w:rPr>
                <w:rFonts w:eastAsia="Times New Roman" w:cs="Times New Roman"/>
                <w:sz w:val="22"/>
              </w:rPr>
            </w:pPr>
            <w:r w:rsidRPr="00B45F4C">
              <w:rPr>
                <w:rFonts w:eastAsia="Times New Roman" w:cs="Times New Roman"/>
                <w:sz w:val="22"/>
              </w:rPr>
              <w:t>Trường Mầm non Tân Phong</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C</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39.400</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2020-2023</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center"/>
              <w:rPr>
                <w:rFonts w:eastAsia="Times New Roman" w:cs="Times New Roman"/>
                <w:sz w:val="22"/>
              </w:rPr>
            </w:pPr>
            <w:r w:rsidRPr="00B45F4C">
              <w:rPr>
                <w:rFonts w:eastAsia="Times New Roman" w:cs="Times New Roman"/>
                <w:sz w:val="22"/>
              </w:rPr>
              <w:t>Đến năm 2024</w:t>
            </w:r>
          </w:p>
        </w:tc>
        <w:tc>
          <w:tcPr>
            <w:tcW w:w="2049" w:type="pct"/>
            <w:tcBorders>
              <w:top w:val="single" w:sz="4" w:space="0" w:color="auto"/>
              <w:left w:val="nil"/>
              <w:bottom w:val="single" w:sz="4" w:space="0" w:color="auto"/>
              <w:right w:val="single" w:sz="4" w:space="0" w:color="auto"/>
            </w:tcBorders>
            <w:shd w:val="clear" w:color="auto" w:fill="auto"/>
            <w:vAlign w:val="center"/>
            <w:hideMark/>
          </w:tcPr>
          <w:p w:rsidR="00B45F4C" w:rsidRPr="00B45F4C" w:rsidRDefault="00B45F4C" w:rsidP="00401AD0">
            <w:pPr>
              <w:spacing w:before="40" w:after="40" w:line="240" w:lineRule="auto"/>
              <w:jc w:val="both"/>
              <w:rPr>
                <w:rFonts w:eastAsia="Times New Roman" w:cs="Times New Roman"/>
                <w:sz w:val="22"/>
              </w:rPr>
            </w:pPr>
            <w:r w:rsidRPr="00B45F4C">
              <w:rPr>
                <w:rFonts w:eastAsia="Times New Roman" w:cs="Times New Roman"/>
                <w:sz w:val="22"/>
              </w:rPr>
              <w:t>Vướng mắc trong công tác bồi thường giải phóng mặt bằng. Nên dự án triển khai thi công chậm kéo dài sang năm 2024.</w:t>
            </w:r>
          </w:p>
        </w:tc>
      </w:tr>
    </w:tbl>
    <w:p w:rsidR="00A15B97" w:rsidRPr="00B45F4C" w:rsidRDefault="00A15B97" w:rsidP="00B45F4C"/>
    <w:sectPr w:rsidR="00A15B97" w:rsidRPr="00B45F4C" w:rsidSect="004E4AC4">
      <w:headerReference w:type="default" r:id="rId8"/>
      <w:pgSz w:w="16840" w:h="11907" w:orient="landscape" w:code="9"/>
      <w:pgMar w:top="1134" w:right="96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AAE" w:rsidRDefault="00660AAE" w:rsidP="00CD7A76">
      <w:pPr>
        <w:spacing w:before="0" w:line="240" w:lineRule="auto"/>
      </w:pPr>
      <w:r>
        <w:separator/>
      </w:r>
    </w:p>
  </w:endnote>
  <w:endnote w:type="continuationSeparator" w:id="0">
    <w:p w:rsidR="00660AAE" w:rsidRDefault="00660AAE" w:rsidP="00CD7A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AAE" w:rsidRDefault="00660AAE" w:rsidP="00CD7A76">
      <w:pPr>
        <w:spacing w:before="0" w:line="240" w:lineRule="auto"/>
      </w:pPr>
      <w:r>
        <w:separator/>
      </w:r>
    </w:p>
  </w:footnote>
  <w:footnote w:type="continuationSeparator" w:id="0">
    <w:p w:rsidR="00660AAE" w:rsidRDefault="00660AAE" w:rsidP="00CD7A7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C4" w:rsidRDefault="004E4AC4">
    <w:pPr>
      <w:pStyle w:val="Header"/>
    </w:pPr>
  </w:p>
  <w:p w:rsidR="004E4AC4" w:rsidRDefault="004E4A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76"/>
    <w:rsid w:val="0010017B"/>
    <w:rsid w:val="00242CDF"/>
    <w:rsid w:val="00252731"/>
    <w:rsid w:val="002A6EEA"/>
    <w:rsid w:val="003A473B"/>
    <w:rsid w:val="00401AD0"/>
    <w:rsid w:val="004E4AC4"/>
    <w:rsid w:val="0056153C"/>
    <w:rsid w:val="005A5E8B"/>
    <w:rsid w:val="005C5683"/>
    <w:rsid w:val="005D0016"/>
    <w:rsid w:val="006028B0"/>
    <w:rsid w:val="00660AAE"/>
    <w:rsid w:val="006865CA"/>
    <w:rsid w:val="00797F5C"/>
    <w:rsid w:val="008D55DB"/>
    <w:rsid w:val="00935F7E"/>
    <w:rsid w:val="00937371"/>
    <w:rsid w:val="009400A9"/>
    <w:rsid w:val="00961028"/>
    <w:rsid w:val="009B7644"/>
    <w:rsid w:val="00A07777"/>
    <w:rsid w:val="00A15B97"/>
    <w:rsid w:val="00A62690"/>
    <w:rsid w:val="00B3612D"/>
    <w:rsid w:val="00B45F4C"/>
    <w:rsid w:val="00BC2687"/>
    <w:rsid w:val="00CD7A76"/>
    <w:rsid w:val="00DC0386"/>
    <w:rsid w:val="00E259BC"/>
    <w:rsid w:val="00E61F40"/>
    <w:rsid w:val="00FB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5409">
      <w:bodyDiv w:val="1"/>
      <w:marLeft w:val="0"/>
      <w:marRight w:val="0"/>
      <w:marTop w:val="0"/>
      <w:marBottom w:val="0"/>
      <w:divBdr>
        <w:top w:val="none" w:sz="0" w:space="0" w:color="auto"/>
        <w:left w:val="none" w:sz="0" w:space="0" w:color="auto"/>
        <w:bottom w:val="none" w:sz="0" w:space="0" w:color="auto"/>
        <w:right w:val="none" w:sz="0" w:space="0" w:color="auto"/>
      </w:divBdr>
    </w:div>
    <w:div w:id="338198065">
      <w:bodyDiv w:val="1"/>
      <w:marLeft w:val="0"/>
      <w:marRight w:val="0"/>
      <w:marTop w:val="0"/>
      <w:marBottom w:val="0"/>
      <w:divBdr>
        <w:top w:val="none" w:sz="0" w:space="0" w:color="auto"/>
        <w:left w:val="none" w:sz="0" w:space="0" w:color="auto"/>
        <w:bottom w:val="none" w:sz="0" w:space="0" w:color="auto"/>
        <w:right w:val="none" w:sz="0" w:space="0" w:color="auto"/>
      </w:divBdr>
    </w:div>
    <w:div w:id="405346700">
      <w:bodyDiv w:val="1"/>
      <w:marLeft w:val="0"/>
      <w:marRight w:val="0"/>
      <w:marTop w:val="0"/>
      <w:marBottom w:val="0"/>
      <w:divBdr>
        <w:top w:val="none" w:sz="0" w:space="0" w:color="auto"/>
        <w:left w:val="none" w:sz="0" w:space="0" w:color="auto"/>
        <w:bottom w:val="none" w:sz="0" w:space="0" w:color="auto"/>
        <w:right w:val="none" w:sz="0" w:space="0" w:color="auto"/>
      </w:divBdr>
    </w:div>
    <w:div w:id="412514007">
      <w:bodyDiv w:val="1"/>
      <w:marLeft w:val="0"/>
      <w:marRight w:val="0"/>
      <w:marTop w:val="0"/>
      <w:marBottom w:val="0"/>
      <w:divBdr>
        <w:top w:val="none" w:sz="0" w:space="0" w:color="auto"/>
        <w:left w:val="none" w:sz="0" w:space="0" w:color="auto"/>
        <w:bottom w:val="none" w:sz="0" w:space="0" w:color="auto"/>
        <w:right w:val="none" w:sz="0" w:space="0" w:color="auto"/>
      </w:divBdr>
    </w:div>
    <w:div w:id="619648805">
      <w:bodyDiv w:val="1"/>
      <w:marLeft w:val="0"/>
      <w:marRight w:val="0"/>
      <w:marTop w:val="0"/>
      <w:marBottom w:val="0"/>
      <w:divBdr>
        <w:top w:val="none" w:sz="0" w:space="0" w:color="auto"/>
        <w:left w:val="none" w:sz="0" w:space="0" w:color="auto"/>
        <w:bottom w:val="none" w:sz="0" w:space="0" w:color="auto"/>
        <w:right w:val="none" w:sz="0" w:space="0" w:color="auto"/>
      </w:divBdr>
    </w:div>
    <w:div w:id="769200903">
      <w:bodyDiv w:val="1"/>
      <w:marLeft w:val="0"/>
      <w:marRight w:val="0"/>
      <w:marTop w:val="0"/>
      <w:marBottom w:val="0"/>
      <w:divBdr>
        <w:top w:val="none" w:sz="0" w:space="0" w:color="auto"/>
        <w:left w:val="none" w:sz="0" w:space="0" w:color="auto"/>
        <w:bottom w:val="none" w:sz="0" w:space="0" w:color="auto"/>
        <w:right w:val="none" w:sz="0" w:space="0" w:color="auto"/>
      </w:divBdr>
    </w:div>
    <w:div w:id="781535403">
      <w:bodyDiv w:val="1"/>
      <w:marLeft w:val="0"/>
      <w:marRight w:val="0"/>
      <w:marTop w:val="0"/>
      <w:marBottom w:val="0"/>
      <w:divBdr>
        <w:top w:val="none" w:sz="0" w:space="0" w:color="auto"/>
        <w:left w:val="none" w:sz="0" w:space="0" w:color="auto"/>
        <w:bottom w:val="none" w:sz="0" w:space="0" w:color="auto"/>
        <w:right w:val="none" w:sz="0" w:space="0" w:color="auto"/>
      </w:divBdr>
    </w:div>
    <w:div w:id="856390012">
      <w:bodyDiv w:val="1"/>
      <w:marLeft w:val="0"/>
      <w:marRight w:val="0"/>
      <w:marTop w:val="0"/>
      <w:marBottom w:val="0"/>
      <w:divBdr>
        <w:top w:val="none" w:sz="0" w:space="0" w:color="auto"/>
        <w:left w:val="none" w:sz="0" w:space="0" w:color="auto"/>
        <w:bottom w:val="none" w:sz="0" w:space="0" w:color="auto"/>
        <w:right w:val="none" w:sz="0" w:space="0" w:color="auto"/>
      </w:divBdr>
    </w:div>
    <w:div w:id="1061556006">
      <w:bodyDiv w:val="1"/>
      <w:marLeft w:val="0"/>
      <w:marRight w:val="0"/>
      <w:marTop w:val="0"/>
      <w:marBottom w:val="0"/>
      <w:divBdr>
        <w:top w:val="none" w:sz="0" w:space="0" w:color="auto"/>
        <w:left w:val="none" w:sz="0" w:space="0" w:color="auto"/>
        <w:bottom w:val="none" w:sz="0" w:space="0" w:color="auto"/>
        <w:right w:val="none" w:sz="0" w:space="0" w:color="auto"/>
      </w:divBdr>
    </w:div>
    <w:div w:id="1314261205">
      <w:bodyDiv w:val="1"/>
      <w:marLeft w:val="0"/>
      <w:marRight w:val="0"/>
      <w:marTop w:val="0"/>
      <w:marBottom w:val="0"/>
      <w:divBdr>
        <w:top w:val="none" w:sz="0" w:space="0" w:color="auto"/>
        <w:left w:val="none" w:sz="0" w:space="0" w:color="auto"/>
        <w:bottom w:val="none" w:sz="0" w:space="0" w:color="auto"/>
        <w:right w:val="none" w:sz="0" w:space="0" w:color="auto"/>
      </w:divBdr>
    </w:div>
    <w:div w:id="1338071210">
      <w:bodyDiv w:val="1"/>
      <w:marLeft w:val="0"/>
      <w:marRight w:val="0"/>
      <w:marTop w:val="0"/>
      <w:marBottom w:val="0"/>
      <w:divBdr>
        <w:top w:val="none" w:sz="0" w:space="0" w:color="auto"/>
        <w:left w:val="none" w:sz="0" w:space="0" w:color="auto"/>
        <w:bottom w:val="none" w:sz="0" w:space="0" w:color="auto"/>
        <w:right w:val="none" w:sz="0" w:space="0" w:color="auto"/>
      </w:divBdr>
    </w:div>
    <w:div w:id="1464805776">
      <w:bodyDiv w:val="1"/>
      <w:marLeft w:val="0"/>
      <w:marRight w:val="0"/>
      <w:marTop w:val="0"/>
      <w:marBottom w:val="0"/>
      <w:divBdr>
        <w:top w:val="none" w:sz="0" w:space="0" w:color="auto"/>
        <w:left w:val="none" w:sz="0" w:space="0" w:color="auto"/>
        <w:bottom w:val="none" w:sz="0" w:space="0" w:color="auto"/>
        <w:right w:val="none" w:sz="0" w:space="0" w:color="auto"/>
      </w:divBdr>
    </w:div>
    <w:div w:id="1594391541">
      <w:bodyDiv w:val="1"/>
      <w:marLeft w:val="0"/>
      <w:marRight w:val="0"/>
      <w:marTop w:val="0"/>
      <w:marBottom w:val="0"/>
      <w:divBdr>
        <w:top w:val="none" w:sz="0" w:space="0" w:color="auto"/>
        <w:left w:val="none" w:sz="0" w:space="0" w:color="auto"/>
        <w:bottom w:val="none" w:sz="0" w:space="0" w:color="auto"/>
        <w:right w:val="none" w:sz="0" w:space="0" w:color="auto"/>
      </w:divBdr>
    </w:div>
    <w:div w:id="1880511903">
      <w:bodyDiv w:val="1"/>
      <w:marLeft w:val="0"/>
      <w:marRight w:val="0"/>
      <w:marTop w:val="0"/>
      <w:marBottom w:val="0"/>
      <w:divBdr>
        <w:top w:val="none" w:sz="0" w:space="0" w:color="auto"/>
        <w:left w:val="none" w:sz="0" w:space="0" w:color="auto"/>
        <w:bottom w:val="none" w:sz="0" w:space="0" w:color="auto"/>
        <w:right w:val="none" w:sz="0" w:space="0" w:color="auto"/>
      </w:divBdr>
    </w:div>
    <w:div w:id="193609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1DF40-06B9-44E7-B06A-7ABF2BD2DCE7}"/>
</file>

<file path=customXml/itemProps2.xml><?xml version="1.0" encoding="utf-8"?>
<ds:datastoreItem xmlns:ds="http://schemas.openxmlformats.org/officeDocument/2006/customXml" ds:itemID="{18D33F2A-F742-41A1-9B70-5CDACDA1CB40}"/>
</file>

<file path=customXml/itemProps3.xml><?xml version="1.0" encoding="utf-8"?>
<ds:datastoreItem xmlns:ds="http://schemas.openxmlformats.org/officeDocument/2006/customXml" ds:itemID="{6E276C79-DB31-44A0-9EF0-9260483B99F3}"/>
</file>

<file path=customXml/itemProps4.xml><?xml version="1.0" encoding="utf-8"?>
<ds:datastoreItem xmlns:ds="http://schemas.openxmlformats.org/officeDocument/2006/customXml" ds:itemID="{B1C43D1F-AA1F-48E5-950A-A828D067CFBB}"/>
</file>

<file path=docProps/app.xml><?xml version="1.0" encoding="utf-8"?>
<Properties xmlns="http://schemas.openxmlformats.org/officeDocument/2006/extended-properties" xmlns:vt="http://schemas.openxmlformats.org/officeDocument/2006/docPropsVTypes">
  <Template>Normal</Template>
  <TotalTime>14</TotalTime>
  <Pages>1</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7</cp:revision>
  <cp:lastPrinted>2024-01-15T02:05:00Z</cp:lastPrinted>
  <dcterms:created xsi:type="dcterms:W3CDTF">2023-12-31T15:03:00Z</dcterms:created>
  <dcterms:modified xsi:type="dcterms:W3CDTF">2024-01-15T02:05:00Z</dcterms:modified>
</cp:coreProperties>
</file>