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26" w:type="pct"/>
        <w:tblInd w:w="108" w:type="dxa"/>
        <w:tblLook w:val="04A0" w:firstRow="1" w:lastRow="0" w:firstColumn="1" w:lastColumn="0" w:noHBand="0" w:noVBand="1"/>
      </w:tblPr>
      <w:tblGrid>
        <w:gridCol w:w="632"/>
        <w:gridCol w:w="3195"/>
        <w:gridCol w:w="1156"/>
        <w:gridCol w:w="1195"/>
        <w:gridCol w:w="1236"/>
        <w:gridCol w:w="1265"/>
        <w:gridCol w:w="6032"/>
      </w:tblGrid>
      <w:tr w:rsidR="00401AD0" w:rsidRPr="00B45F4C" w:rsidTr="00401AD0">
        <w:trPr>
          <w:trHeight w:val="20"/>
        </w:trPr>
        <w:tc>
          <w:tcPr>
            <w:tcW w:w="215" w:type="pct"/>
            <w:tcBorders>
              <w:top w:val="nil"/>
              <w:left w:val="nil"/>
              <w:bottom w:val="nil"/>
              <w:right w:val="nil"/>
            </w:tcBorders>
            <w:shd w:val="clear" w:color="000000" w:fill="FFFFFF"/>
            <w:noWrap/>
            <w:vAlign w:val="bottom"/>
            <w:hideMark/>
          </w:tcPr>
          <w:p w:rsidR="00B45F4C" w:rsidRPr="00B45F4C" w:rsidRDefault="00B45F4C" w:rsidP="00B45F4C">
            <w:pPr>
              <w:spacing w:before="0" w:line="240" w:lineRule="auto"/>
              <w:jc w:val="center"/>
              <w:rPr>
                <w:rFonts w:eastAsia="Times New Roman" w:cs="Times New Roman"/>
                <w:sz w:val="22"/>
              </w:rPr>
            </w:pPr>
            <w:bookmarkStart w:id="0" w:name="RANGE!A1:H20"/>
            <w:r w:rsidRPr="00B45F4C">
              <w:rPr>
                <w:rFonts w:eastAsia="Times New Roman" w:cs="Times New Roman"/>
                <w:sz w:val="22"/>
              </w:rPr>
              <w:t> </w:t>
            </w:r>
            <w:bookmarkEnd w:id="0"/>
          </w:p>
        </w:tc>
        <w:tc>
          <w:tcPr>
            <w:tcW w:w="1086" w:type="pct"/>
            <w:tcBorders>
              <w:top w:val="nil"/>
              <w:left w:val="nil"/>
              <w:bottom w:val="nil"/>
              <w:right w:val="nil"/>
            </w:tcBorders>
            <w:shd w:val="clear" w:color="000000" w:fill="FFFFFF"/>
            <w:noWrap/>
            <w:vAlign w:val="bottom"/>
            <w:hideMark/>
          </w:tcPr>
          <w:p w:rsidR="00B45F4C" w:rsidRPr="00B45F4C" w:rsidRDefault="00B45F4C" w:rsidP="00B45F4C">
            <w:pPr>
              <w:spacing w:before="0" w:line="240" w:lineRule="auto"/>
              <w:rPr>
                <w:rFonts w:eastAsia="Times New Roman" w:cs="Times New Roman"/>
                <w:sz w:val="22"/>
              </w:rPr>
            </w:pPr>
            <w:r w:rsidRPr="00B45F4C">
              <w:rPr>
                <w:rFonts w:eastAsia="Times New Roman" w:cs="Times New Roman"/>
                <w:sz w:val="22"/>
              </w:rPr>
              <w:t> </w:t>
            </w:r>
          </w:p>
        </w:tc>
        <w:tc>
          <w:tcPr>
            <w:tcW w:w="393" w:type="pct"/>
            <w:tcBorders>
              <w:top w:val="nil"/>
              <w:left w:val="nil"/>
              <w:bottom w:val="nil"/>
              <w:right w:val="nil"/>
            </w:tcBorders>
            <w:shd w:val="clear" w:color="000000" w:fill="FFFFFF"/>
            <w:noWrap/>
            <w:vAlign w:val="bottom"/>
            <w:hideMark/>
          </w:tcPr>
          <w:p w:rsidR="00B45F4C" w:rsidRPr="00B45F4C" w:rsidRDefault="00B45F4C" w:rsidP="00B45F4C">
            <w:pPr>
              <w:spacing w:before="0" w:line="240" w:lineRule="auto"/>
              <w:rPr>
                <w:rFonts w:eastAsia="Times New Roman" w:cs="Times New Roman"/>
                <w:sz w:val="22"/>
              </w:rPr>
            </w:pPr>
            <w:r w:rsidRPr="00B45F4C">
              <w:rPr>
                <w:rFonts w:eastAsia="Times New Roman" w:cs="Times New Roman"/>
                <w:sz w:val="22"/>
              </w:rPr>
              <w:t> </w:t>
            </w:r>
          </w:p>
        </w:tc>
        <w:tc>
          <w:tcPr>
            <w:tcW w:w="406" w:type="pct"/>
            <w:tcBorders>
              <w:top w:val="nil"/>
              <w:left w:val="nil"/>
              <w:bottom w:val="nil"/>
              <w:right w:val="nil"/>
            </w:tcBorders>
            <w:shd w:val="clear" w:color="000000" w:fill="FFFFFF"/>
            <w:noWrap/>
            <w:vAlign w:val="bottom"/>
            <w:hideMark/>
          </w:tcPr>
          <w:p w:rsidR="00B45F4C" w:rsidRPr="00B45F4C" w:rsidRDefault="00B45F4C" w:rsidP="00B45F4C">
            <w:pPr>
              <w:spacing w:before="0" w:line="240" w:lineRule="auto"/>
              <w:rPr>
                <w:rFonts w:eastAsia="Times New Roman" w:cs="Times New Roman"/>
                <w:sz w:val="22"/>
              </w:rPr>
            </w:pPr>
            <w:r w:rsidRPr="00B45F4C">
              <w:rPr>
                <w:rFonts w:eastAsia="Times New Roman" w:cs="Times New Roman"/>
                <w:sz w:val="22"/>
              </w:rPr>
              <w:t> </w:t>
            </w:r>
          </w:p>
        </w:tc>
        <w:tc>
          <w:tcPr>
            <w:tcW w:w="420" w:type="pct"/>
            <w:tcBorders>
              <w:top w:val="nil"/>
              <w:left w:val="nil"/>
              <w:bottom w:val="nil"/>
              <w:right w:val="nil"/>
            </w:tcBorders>
            <w:shd w:val="clear" w:color="000000" w:fill="FFFFFF"/>
            <w:noWrap/>
            <w:vAlign w:val="bottom"/>
            <w:hideMark/>
          </w:tcPr>
          <w:p w:rsidR="00B45F4C" w:rsidRPr="00B45F4C" w:rsidRDefault="00B45F4C" w:rsidP="00B45F4C">
            <w:pPr>
              <w:spacing w:before="0" w:line="240" w:lineRule="auto"/>
              <w:rPr>
                <w:rFonts w:eastAsia="Times New Roman" w:cs="Times New Roman"/>
                <w:sz w:val="22"/>
              </w:rPr>
            </w:pPr>
            <w:r w:rsidRPr="00B45F4C">
              <w:rPr>
                <w:rFonts w:eastAsia="Times New Roman" w:cs="Times New Roman"/>
                <w:sz w:val="22"/>
              </w:rPr>
              <w:t> </w:t>
            </w:r>
          </w:p>
        </w:tc>
        <w:tc>
          <w:tcPr>
            <w:tcW w:w="2480" w:type="pct"/>
            <w:gridSpan w:val="2"/>
            <w:tcBorders>
              <w:top w:val="nil"/>
              <w:left w:val="nil"/>
              <w:bottom w:val="nil"/>
              <w:right w:val="nil"/>
            </w:tcBorders>
            <w:shd w:val="clear" w:color="000000" w:fill="FFFFFF"/>
            <w:vAlign w:val="bottom"/>
            <w:hideMark/>
          </w:tcPr>
          <w:p w:rsidR="00B45F4C" w:rsidRPr="00B45F4C" w:rsidRDefault="00B45F4C" w:rsidP="00B45F4C">
            <w:pPr>
              <w:spacing w:before="0" w:line="240" w:lineRule="auto"/>
              <w:jc w:val="right"/>
              <w:rPr>
                <w:rFonts w:eastAsia="Times New Roman" w:cs="Times New Roman"/>
                <w:b/>
                <w:bCs/>
                <w:sz w:val="22"/>
              </w:rPr>
            </w:pPr>
            <w:r w:rsidRPr="00B45F4C">
              <w:rPr>
                <w:rFonts w:eastAsia="Times New Roman" w:cs="Times New Roman"/>
                <w:b/>
                <w:bCs/>
                <w:sz w:val="22"/>
              </w:rPr>
              <w:t>UBND THÀNH PHỐ BIÊN HÒA</w:t>
            </w:r>
          </w:p>
        </w:tc>
      </w:tr>
      <w:tr w:rsidR="00401AD0" w:rsidRPr="00B45F4C" w:rsidTr="00401AD0">
        <w:trPr>
          <w:trHeight w:val="759"/>
        </w:trPr>
        <w:tc>
          <w:tcPr>
            <w:tcW w:w="5000" w:type="pct"/>
            <w:gridSpan w:val="7"/>
            <w:tcBorders>
              <w:top w:val="nil"/>
              <w:left w:val="nil"/>
              <w:bottom w:val="single" w:sz="4" w:space="0" w:color="auto"/>
              <w:right w:val="nil"/>
            </w:tcBorders>
            <w:shd w:val="clear" w:color="auto" w:fill="auto"/>
            <w:vAlign w:val="center"/>
            <w:hideMark/>
          </w:tcPr>
          <w:p w:rsidR="00401AD0" w:rsidRDefault="00401AD0" w:rsidP="00B45F4C">
            <w:pPr>
              <w:spacing w:before="0" w:line="240" w:lineRule="auto"/>
              <w:jc w:val="center"/>
              <w:rPr>
                <w:rFonts w:eastAsia="Times New Roman" w:cs="Times New Roman"/>
                <w:b/>
                <w:bCs/>
                <w:szCs w:val="28"/>
              </w:rPr>
            </w:pPr>
          </w:p>
          <w:p w:rsidR="00401AD0" w:rsidRPr="00401AD0" w:rsidRDefault="00401AD0" w:rsidP="00B45F4C">
            <w:pPr>
              <w:spacing w:before="0" w:line="240" w:lineRule="auto"/>
              <w:jc w:val="center"/>
              <w:rPr>
                <w:rFonts w:eastAsia="Times New Roman" w:cs="Times New Roman"/>
                <w:b/>
                <w:bCs/>
                <w:szCs w:val="28"/>
              </w:rPr>
            </w:pPr>
            <w:r w:rsidRPr="00401AD0">
              <w:rPr>
                <w:rFonts w:eastAsia="Times New Roman" w:cs="Times New Roman"/>
                <w:b/>
                <w:bCs/>
                <w:szCs w:val="28"/>
              </w:rPr>
              <w:t>Phụ lục II.2</w:t>
            </w:r>
          </w:p>
          <w:p w:rsidR="00401AD0" w:rsidRPr="00401AD0" w:rsidRDefault="00401AD0" w:rsidP="00B45F4C">
            <w:pPr>
              <w:spacing w:before="0" w:line="240" w:lineRule="auto"/>
              <w:jc w:val="center"/>
              <w:rPr>
                <w:rFonts w:eastAsia="Times New Roman" w:cs="Times New Roman"/>
                <w:b/>
                <w:bCs/>
                <w:szCs w:val="28"/>
              </w:rPr>
            </w:pPr>
            <w:r w:rsidRPr="00401AD0">
              <w:rPr>
                <w:rFonts w:eastAsia="Times New Roman" w:cs="Times New Roman"/>
                <w:b/>
                <w:bCs/>
                <w:szCs w:val="28"/>
              </w:rPr>
              <w:t>DANH MỤC DỰ ÁN KÉO DÀI THỜI GIAN BỐ TRÍ VỐN</w:t>
            </w:r>
          </w:p>
          <w:p w:rsidR="00401AD0" w:rsidRDefault="006028B0" w:rsidP="00B45F4C">
            <w:pPr>
              <w:spacing w:before="0" w:line="240" w:lineRule="auto"/>
              <w:jc w:val="center"/>
              <w:rPr>
                <w:rFonts w:eastAsia="Times New Roman" w:cs="Times New Roman"/>
                <w:i/>
                <w:iCs/>
                <w:szCs w:val="28"/>
              </w:rPr>
            </w:pPr>
            <w:r>
              <w:rPr>
                <w:rFonts w:eastAsia="Times New Roman" w:cs="Times New Roman"/>
                <w:i/>
                <w:iCs/>
                <w:szCs w:val="28"/>
              </w:rPr>
              <w:t>(Kèm theo Nghị quyết số 35</w:t>
            </w:r>
            <w:r w:rsidR="00401AD0" w:rsidRPr="00401AD0">
              <w:rPr>
                <w:rFonts w:eastAsia="Times New Roman" w:cs="Times New Roman"/>
                <w:i/>
                <w:iCs/>
                <w:szCs w:val="28"/>
              </w:rPr>
              <w:t>/NQ-HĐND ngày 08 tháng 12 năm 2023 của Hội đồng nhân dân tỉnh Đồng Nai)</w:t>
            </w:r>
          </w:p>
          <w:p w:rsidR="00401AD0" w:rsidRDefault="00401AD0" w:rsidP="00B45F4C">
            <w:pPr>
              <w:spacing w:before="0" w:line="240" w:lineRule="auto"/>
              <w:jc w:val="center"/>
              <w:rPr>
                <w:rFonts w:eastAsia="Times New Roman" w:cs="Times New Roman"/>
                <w:b/>
                <w:bCs/>
                <w:szCs w:val="28"/>
              </w:rPr>
            </w:pPr>
          </w:p>
          <w:p w:rsidR="00401AD0" w:rsidRPr="00401AD0" w:rsidRDefault="00401AD0" w:rsidP="00B45F4C">
            <w:pPr>
              <w:spacing w:before="0" w:line="240" w:lineRule="auto"/>
              <w:jc w:val="center"/>
              <w:rPr>
                <w:rFonts w:eastAsia="Times New Roman" w:cs="Times New Roman"/>
                <w:b/>
                <w:bCs/>
                <w:szCs w:val="28"/>
              </w:rPr>
            </w:pP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b/>
                <w:bCs/>
                <w:sz w:val="22"/>
              </w:rPr>
            </w:pPr>
            <w:r w:rsidRPr="00B45F4C">
              <w:rPr>
                <w:rFonts w:eastAsia="Times New Roman" w:cs="Times New Roman"/>
                <w:b/>
                <w:bCs/>
                <w:sz w:val="22"/>
              </w:rPr>
              <w:t>STT</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b/>
                <w:bCs/>
                <w:sz w:val="22"/>
              </w:rPr>
            </w:pPr>
            <w:r w:rsidRPr="00B45F4C">
              <w:rPr>
                <w:rFonts w:eastAsia="Times New Roman" w:cs="Times New Roman"/>
                <w:b/>
                <w:bCs/>
                <w:sz w:val="22"/>
              </w:rPr>
              <w:t>Tên dự án</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b/>
                <w:bCs/>
                <w:sz w:val="22"/>
              </w:rPr>
            </w:pPr>
            <w:r w:rsidRPr="00B45F4C">
              <w:rPr>
                <w:rFonts w:eastAsia="Times New Roman" w:cs="Times New Roman"/>
                <w:b/>
                <w:bCs/>
                <w:sz w:val="22"/>
              </w:rPr>
              <w:t>Nhóm DA</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b/>
                <w:bCs/>
                <w:sz w:val="22"/>
              </w:rPr>
            </w:pPr>
            <w:r w:rsidRPr="00B45F4C">
              <w:rPr>
                <w:rFonts w:eastAsia="Times New Roman" w:cs="Times New Roman"/>
                <w:b/>
                <w:bCs/>
                <w:sz w:val="22"/>
              </w:rPr>
              <w:t>Tổng mức đầu tư</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b/>
                <w:bCs/>
                <w:sz w:val="22"/>
              </w:rPr>
            </w:pPr>
            <w:r w:rsidRPr="00B45F4C">
              <w:rPr>
                <w:rFonts w:eastAsia="Times New Roman" w:cs="Times New Roman"/>
                <w:b/>
                <w:bCs/>
                <w:sz w:val="22"/>
              </w:rPr>
              <w:t>Thời gian đã bố trí vốn thực hiện dự án</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b/>
                <w:bCs/>
                <w:sz w:val="22"/>
              </w:rPr>
            </w:pPr>
            <w:r w:rsidRPr="00B45F4C">
              <w:rPr>
                <w:rFonts w:eastAsia="Times New Roman" w:cs="Times New Roman"/>
                <w:b/>
                <w:bCs/>
                <w:sz w:val="22"/>
              </w:rPr>
              <w:t>Thời gian bố trí vốn thực hiện dự án</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b/>
                <w:bCs/>
                <w:sz w:val="22"/>
              </w:rPr>
            </w:pPr>
            <w:r w:rsidRPr="00B45F4C">
              <w:rPr>
                <w:rFonts w:eastAsia="Times New Roman" w:cs="Times New Roman"/>
                <w:b/>
                <w:bCs/>
                <w:sz w:val="22"/>
              </w:rPr>
              <w:t xml:space="preserve">Nguyên nhân </w:t>
            </w:r>
            <w:r w:rsidRPr="00B45F4C">
              <w:rPr>
                <w:rFonts w:eastAsia="Times New Roman" w:cs="Times New Roman"/>
                <w:b/>
                <w:bCs/>
                <w:sz w:val="22"/>
              </w:rPr>
              <w:br/>
              <w:t>chậm thực hiện</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1</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Xây dựng hạ tầng khu dân cư phục vụ tái định cư xã Tân Hạnh, thành phố Biên Hòa (quy mô 4,2 ha)</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C</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110.000</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Vướng mắc trong công tác bồi thường giải phóng mặt bằng dự án có 65 hộ giải tỏa. Hiện nay đã bàn giao mặt bằng với diện tích 2,45</w:t>
            </w:r>
            <w:r w:rsidR="006028B0">
              <w:rPr>
                <w:rFonts w:eastAsia="Times New Roman" w:cs="Times New Roman"/>
                <w:sz w:val="22"/>
              </w:rPr>
              <w:t xml:space="preserve"> </w:t>
            </w:r>
            <w:r w:rsidRPr="00B45F4C">
              <w:rPr>
                <w:rFonts w:eastAsia="Times New Roman" w:cs="Times New Roman"/>
                <w:sz w:val="22"/>
              </w:rPr>
              <w:t>ha/4,2</w:t>
            </w:r>
            <w:r w:rsidR="006028B0">
              <w:rPr>
                <w:rFonts w:eastAsia="Times New Roman" w:cs="Times New Roman"/>
                <w:sz w:val="22"/>
              </w:rPr>
              <w:t xml:space="preserve"> </w:t>
            </w:r>
            <w:r w:rsidRPr="00B45F4C">
              <w:rPr>
                <w:rFonts w:eastAsia="Times New Roman" w:cs="Times New Roman"/>
                <w:sz w:val="22"/>
              </w:rPr>
              <w:t>ha (21/65 hộ) đã nhận tiền và di dời, còn lại các hộ đang khiếu nại khiếu kiện và xem xét bố trí tái định cư.</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2</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Xây dựng mở rộng chợ Hóa An, thành phố Biên hòa</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C</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80.200</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Hồ sơ đã phê duyệt. Tuy nhiên do vướng mắc bồi thường giải phóng mặt bằng, các hộ dân chưa đồng thuận nhận tiền bàn giao mặt bằng, nên chưa thể khởi công xây dựng công trình.</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3</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Khu dân cư phục vụ tái định cư phường Tam Hiệp (9,4</w:t>
            </w:r>
            <w:r w:rsidR="006028B0">
              <w:rPr>
                <w:rFonts w:eastAsia="Times New Roman" w:cs="Times New Roman"/>
                <w:sz w:val="22"/>
              </w:rPr>
              <w:t xml:space="preserve"> </w:t>
            </w:r>
            <w:r w:rsidRPr="00B45F4C">
              <w:rPr>
                <w:rFonts w:eastAsia="Times New Roman" w:cs="Times New Roman"/>
                <w:sz w:val="22"/>
              </w:rPr>
              <w:t>ha)</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B</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715.544</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Vướng mắc trong công tác bồi thường giải phóng mặt bằng. Dự án được phân kỳ đầu tư trước giai đoạn 1 - 6,2</w:t>
            </w:r>
            <w:r w:rsidR="006028B0">
              <w:rPr>
                <w:rFonts w:eastAsia="Times New Roman" w:cs="Times New Roman"/>
                <w:sz w:val="22"/>
              </w:rPr>
              <w:t xml:space="preserve"> </w:t>
            </w:r>
            <w:r w:rsidRPr="00B45F4C">
              <w:rPr>
                <w:rFonts w:eastAsia="Times New Roman" w:cs="Times New Roman"/>
                <w:sz w:val="22"/>
              </w:rPr>
              <w:t>ha đã có mặt bằng. Diện tích còn lại 3,2</w:t>
            </w:r>
            <w:r w:rsidR="006028B0">
              <w:rPr>
                <w:rFonts w:eastAsia="Times New Roman" w:cs="Times New Roman"/>
                <w:sz w:val="22"/>
              </w:rPr>
              <w:t xml:space="preserve"> </w:t>
            </w:r>
            <w:r w:rsidRPr="00B45F4C">
              <w:rPr>
                <w:rFonts w:eastAsia="Times New Roman" w:cs="Times New Roman"/>
                <w:sz w:val="22"/>
              </w:rPr>
              <w:t>ha sẽ tiếp tục triển khai đầu tư xây dựng khi hoàn thành công tác bồi thường giải phóng mặt bằng.</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4</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Xây dựng hạ tầng khu tái định cư phường Thống Nhất và phường Tân Mai, thành phố Biên Hòa</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B</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825.796</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Vướng mắc trong công tác bồi thường giải phóng mặt bằng, còn nhiều hộ dân chưa đồng thuận nhận tiền bồi thường. Tỷ lệ hộ dân nhận tiền đạt 51,6% (73 hộ dân nhận số tiền tương đương 235,4 tỷ đồng) với lý do giá bồi thường thấp so với giá thị trường. Thu hồi đất chậm, ảnh hưởng đến tiến độ thi công dự án, kéo dài thời gian thực hiện dự án.</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FB5D3D">
            <w:pPr>
              <w:spacing w:before="60" w:after="60" w:line="240" w:lineRule="auto"/>
              <w:jc w:val="center"/>
              <w:rPr>
                <w:rFonts w:eastAsia="Times New Roman" w:cs="Times New Roman"/>
                <w:sz w:val="22"/>
              </w:rPr>
            </w:pPr>
            <w:bookmarkStart w:id="1" w:name="_GoBack" w:colFirst="0" w:colLast="6"/>
            <w:r w:rsidRPr="00B45F4C">
              <w:rPr>
                <w:rFonts w:eastAsia="Times New Roman" w:cs="Times New Roman"/>
                <w:sz w:val="22"/>
              </w:rPr>
              <w:t>5</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Xây dựng hạ tầng khu tái định cư phường Thống Nhất</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C</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52.000</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FB5D3D">
            <w:pPr>
              <w:spacing w:before="60" w:after="60" w:line="240" w:lineRule="auto"/>
              <w:jc w:val="both"/>
              <w:rPr>
                <w:rFonts w:eastAsia="Times New Roman" w:cs="Times New Roman"/>
                <w:sz w:val="22"/>
              </w:rPr>
            </w:pPr>
            <w:r w:rsidRPr="00B45F4C">
              <w:rPr>
                <w:rFonts w:eastAsia="Times New Roman" w:cs="Times New Roman"/>
                <w:sz w:val="22"/>
              </w:rPr>
              <w:t>Vướng mắc bồi thường, hỗ trợ tái định cư: Có 65 hộ giải tỏa (50 hộ giải tỏa trắng - GTT). Hiện nay đã bàn giao mặt bằng với diện tích 2.523</w:t>
            </w:r>
            <w:r w:rsidR="006028B0">
              <w:rPr>
                <w:rFonts w:eastAsia="Times New Roman" w:cs="Times New Roman"/>
                <w:sz w:val="22"/>
              </w:rPr>
              <w:t xml:space="preserve"> </w:t>
            </w:r>
            <w:r w:rsidRPr="00B45F4C">
              <w:rPr>
                <w:rFonts w:eastAsia="Times New Roman" w:cs="Times New Roman"/>
                <w:sz w:val="22"/>
              </w:rPr>
              <w:t>m</w:t>
            </w:r>
            <w:r w:rsidRPr="006028B0">
              <w:rPr>
                <w:rFonts w:eastAsia="Times New Roman" w:cs="Times New Roman"/>
                <w:sz w:val="22"/>
                <w:vertAlign w:val="superscript"/>
              </w:rPr>
              <w:t>2</w:t>
            </w:r>
            <w:r w:rsidRPr="00B45F4C">
              <w:rPr>
                <w:rFonts w:eastAsia="Times New Roman" w:cs="Times New Roman"/>
                <w:sz w:val="22"/>
              </w:rPr>
              <w:t xml:space="preserve"> (24/65 hộ) đã nhận tiền và di dời, còn lại các hộ do diện tích nhà đất nhỏ đang được đoàn công tác thành phố kiểm tra hiện trạng xem xét bố trí tái định cư.</w:t>
            </w:r>
          </w:p>
        </w:tc>
      </w:tr>
      <w:bookmarkEnd w:id="1"/>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lastRenderedPageBreak/>
              <w:t>6</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Trường THCS Ngô Nhơn Tịnh thành phố Biên Hòa</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B</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104.202</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Chưa hoàn thành công tác bồi thường giải phóng mặt bằng, các hộ dân không đồng ý nhận tiền bồi thường và chưa bàn giao mặt bằng. Tổng số hộ bị giải tỏa là 32 hộ + 02 tổ chức (16 hộ GTT). 27/34 hộ đã có quyết định phê duyệt phương án bồi thường, đã nhận tiền 14/27 và đã bàn giao mặt bằng được 2.560</w:t>
            </w:r>
            <w:r w:rsidR="006028B0">
              <w:rPr>
                <w:rFonts w:eastAsia="Times New Roman" w:cs="Times New Roman"/>
                <w:sz w:val="22"/>
              </w:rPr>
              <w:t xml:space="preserve"> </w:t>
            </w:r>
            <w:r w:rsidRPr="00B45F4C">
              <w:rPr>
                <w:rFonts w:eastAsia="Times New Roman" w:cs="Times New Roman"/>
                <w:sz w:val="22"/>
              </w:rPr>
              <w:t>m</w:t>
            </w:r>
            <w:r w:rsidRPr="006028B0">
              <w:rPr>
                <w:rFonts w:eastAsia="Times New Roman" w:cs="Times New Roman"/>
                <w:sz w:val="22"/>
                <w:vertAlign w:val="superscript"/>
              </w:rPr>
              <w:t>2</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7</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6028B0" w:rsidP="00401AD0">
            <w:pPr>
              <w:spacing w:before="40" w:after="40" w:line="240" w:lineRule="auto"/>
              <w:jc w:val="both"/>
              <w:rPr>
                <w:rFonts w:eastAsia="Times New Roman" w:cs="Times New Roman"/>
                <w:sz w:val="22"/>
              </w:rPr>
            </w:pPr>
            <w:r>
              <w:rPr>
                <w:rFonts w:eastAsia="Times New Roman" w:cs="Times New Roman"/>
                <w:sz w:val="22"/>
              </w:rPr>
              <w:t>Xây dựng T</w:t>
            </w:r>
            <w:r w:rsidR="00B45F4C" w:rsidRPr="00B45F4C">
              <w:rPr>
                <w:rFonts w:eastAsia="Times New Roman" w:cs="Times New Roman"/>
                <w:sz w:val="22"/>
              </w:rPr>
              <w:t>rường TH Phan Đăng Lưu, thành phố Biên Hòa</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B</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70.725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Chưa hoàn thành công tác bồi thường giải phóng mặt bằng, các hộ dân không đồng ý nhận tiền bồi thường và chưa bàn giao mặt bằng. Tổng số hộ giải tỏa là 30 hộ GTT, đã có quyết định phê duyệt phương án bồi thường 30/30 hộ (17 hộ đã nhận tiền), các hộ dân chưa bàn giao mặt bằng và đang xét tái định cư.</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8</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6028B0" w:rsidP="00401AD0">
            <w:pPr>
              <w:spacing w:before="40" w:after="40" w:line="240" w:lineRule="auto"/>
              <w:jc w:val="both"/>
              <w:rPr>
                <w:rFonts w:eastAsia="Times New Roman" w:cs="Times New Roman"/>
                <w:sz w:val="22"/>
              </w:rPr>
            </w:pPr>
            <w:r>
              <w:rPr>
                <w:rFonts w:eastAsia="Times New Roman" w:cs="Times New Roman"/>
                <w:sz w:val="22"/>
              </w:rPr>
              <w:t>Xây dựng T</w:t>
            </w:r>
            <w:r w:rsidR="00B45F4C" w:rsidRPr="00B45F4C">
              <w:rPr>
                <w:rFonts w:eastAsia="Times New Roman" w:cs="Times New Roman"/>
                <w:sz w:val="22"/>
              </w:rPr>
              <w:t>rường TH Tân Hiệp, thành phố Biên Hòa</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B</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116.000</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Vướng mắc trong công tác bồi thường giải phóng mặt bằng. Các hộ dân không đồng thuận và không nhận tiền (đã phê duyệt phương án bồi thường được 22/32 hộ), các hộ dân mua bán sang tay nhiều nên chưa thể hoàn thành công tác bồi thường.</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9</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6028B0">
            <w:pPr>
              <w:spacing w:before="40" w:after="40" w:line="240" w:lineRule="auto"/>
              <w:jc w:val="both"/>
              <w:rPr>
                <w:rFonts w:eastAsia="Times New Roman" w:cs="Times New Roman"/>
                <w:sz w:val="22"/>
              </w:rPr>
            </w:pPr>
            <w:r w:rsidRPr="00B45F4C">
              <w:rPr>
                <w:rFonts w:eastAsia="Times New Roman" w:cs="Times New Roman"/>
                <w:sz w:val="22"/>
              </w:rPr>
              <w:t xml:space="preserve">Trường </w:t>
            </w:r>
            <w:r w:rsidR="006028B0">
              <w:rPr>
                <w:rFonts w:eastAsia="Times New Roman" w:cs="Times New Roman"/>
                <w:sz w:val="22"/>
              </w:rPr>
              <w:t>T</w:t>
            </w:r>
            <w:r w:rsidRPr="00B45F4C">
              <w:rPr>
                <w:rFonts w:eastAsia="Times New Roman" w:cs="Times New Roman"/>
                <w:sz w:val="22"/>
              </w:rPr>
              <w:t>iểu học Long Bình 1</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B</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190.000</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Do điều chỉnh chủ trương đầu tư và phân kỳ đầu tư, vướng mắc trong công tác bồi thường giải phóng mặt bằng.</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10</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 xml:space="preserve">Mở rộng Trường THCS Hòa Hưng tại phường An Hòa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C</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10.795</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Vướng mắc trong công tác bồi thường giải phóng mặt bằng. Các hộ dân không đồng thuận và không nhận tiền</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11</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Xây dựng hệ thống thoát nước khu vực Quốc lộ 51 và khu phố Bình Dương, phường Long Bình Tân</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C</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88.580</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Do điều chỉnh báo cáo nghiên cứu khả thi. Khởi công trong thời gian mưa, bão gây chậm tiến độ hoàn thành công trình</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12</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Xây dựng Trường THCS Tân Hạnh</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B</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93.362</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Vướng mắc trong công tác bồi thường giải phóng mặt bằng</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13</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6028B0" w:rsidP="00401AD0">
            <w:pPr>
              <w:spacing w:before="40" w:after="40" w:line="240" w:lineRule="auto"/>
              <w:jc w:val="both"/>
              <w:rPr>
                <w:rFonts w:eastAsia="Times New Roman" w:cs="Times New Roman"/>
                <w:sz w:val="22"/>
              </w:rPr>
            </w:pPr>
            <w:r>
              <w:rPr>
                <w:rFonts w:eastAsia="Times New Roman" w:cs="Times New Roman"/>
                <w:sz w:val="22"/>
              </w:rPr>
              <w:t>Xây dựng mới đường vào T</w:t>
            </w:r>
            <w:r w:rsidR="00B45F4C" w:rsidRPr="00B45F4C">
              <w:rPr>
                <w:rFonts w:eastAsia="Times New Roman" w:cs="Times New Roman"/>
                <w:sz w:val="22"/>
              </w:rPr>
              <w:t>rường THCS Tân Hiệp</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C</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11.593</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Vướng mắc trong công tác bồi thường giải phóng mặt bằng. Hiện đang thi công cuốn chiếu khi nhận được mặt bằng.</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14</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6028B0">
            <w:pPr>
              <w:spacing w:before="40" w:after="40" w:line="240" w:lineRule="auto"/>
              <w:jc w:val="both"/>
              <w:rPr>
                <w:rFonts w:eastAsia="Times New Roman" w:cs="Times New Roman"/>
                <w:sz w:val="22"/>
              </w:rPr>
            </w:pPr>
            <w:r w:rsidRPr="00B45F4C">
              <w:rPr>
                <w:rFonts w:eastAsia="Times New Roman" w:cs="Times New Roman"/>
                <w:sz w:val="22"/>
              </w:rPr>
              <w:t xml:space="preserve">Xây dựng đường vào </w:t>
            </w:r>
            <w:r w:rsidR="006028B0">
              <w:rPr>
                <w:rFonts w:eastAsia="Times New Roman" w:cs="Times New Roman"/>
                <w:sz w:val="22"/>
              </w:rPr>
              <w:t>Trường M</w:t>
            </w:r>
            <w:r w:rsidRPr="00B45F4C">
              <w:rPr>
                <w:rFonts w:eastAsia="Times New Roman" w:cs="Times New Roman"/>
                <w:sz w:val="22"/>
              </w:rPr>
              <w:t xml:space="preserve">ầm non Tân Tiến và </w:t>
            </w:r>
            <w:r w:rsidR="006028B0">
              <w:rPr>
                <w:rFonts w:eastAsia="Times New Roman" w:cs="Times New Roman"/>
                <w:sz w:val="22"/>
              </w:rPr>
              <w:t>T</w:t>
            </w:r>
            <w:r w:rsidRPr="00B45F4C">
              <w:rPr>
                <w:rFonts w:eastAsia="Times New Roman" w:cs="Times New Roman"/>
                <w:sz w:val="22"/>
              </w:rPr>
              <w:t>iểu học Tân Tiến A</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C</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40.000</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Công trình đã triển khai thi công, do vướng mắc trong công tác giải phóng mặt bằng nên kéo dài đến sang năm 2024 hoàn thành công trình.</w:t>
            </w:r>
          </w:p>
        </w:tc>
      </w:tr>
      <w:tr w:rsidR="00401AD0" w:rsidRPr="00B45F4C" w:rsidTr="00401AD0">
        <w:trPr>
          <w:trHeight w:val="2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15</w:t>
            </w:r>
          </w:p>
        </w:tc>
        <w:tc>
          <w:tcPr>
            <w:tcW w:w="108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Trường Mầm non Tân Phong</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C</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39.400</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2020-2023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center"/>
              <w:rPr>
                <w:rFonts w:eastAsia="Times New Roman" w:cs="Times New Roman"/>
                <w:sz w:val="22"/>
              </w:rPr>
            </w:pPr>
            <w:r w:rsidRPr="00B45F4C">
              <w:rPr>
                <w:rFonts w:eastAsia="Times New Roman" w:cs="Times New Roman"/>
                <w:sz w:val="22"/>
              </w:rPr>
              <w:t>Đến năm 2024</w:t>
            </w:r>
          </w:p>
        </w:tc>
        <w:tc>
          <w:tcPr>
            <w:tcW w:w="2049" w:type="pct"/>
            <w:tcBorders>
              <w:top w:val="single" w:sz="4" w:space="0" w:color="auto"/>
              <w:left w:val="nil"/>
              <w:bottom w:val="single" w:sz="4" w:space="0" w:color="auto"/>
              <w:right w:val="single" w:sz="4" w:space="0" w:color="auto"/>
            </w:tcBorders>
            <w:shd w:val="clear" w:color="auto" w:fill="auto"/>
            <w:vAlign w:val="center"/>
            <w:hideMark/>
          </w:tcPr>
          <w:p w:rsidR="00B45F4C" w:rsidRPr="00B45F4C" w:rsidRDefault="00B45F4C" w:rsidP="00401AD0">
            <w:pPr>
              <w:spacing w:before="40" w:after="40" w:line="240" w:lineRule="auto"/>
              <w:jc w:val="both"/>
              <w:rPr>
                <w:rFonts w:eastAsia="Times New Roman" w:cs="Times New Roman"/>
                <w:sz w:val="22"/>
              </w:rPr>
            </w:pPr>
            <w:r w:rsidRPr="00B45F4C">
              <w:rPr>
                <w:rFonts w:eastAsia="Times New Roman" w:cs="Times New Roman"/>
                <w:sz w:val="22"/>
              </w:rPr>
              <w:t>Vướng mắc trong công tác bồi thường giải phóng mặt bằng. Nên dự án triển khai thi công chậm kéo dài sang năm 2024.</w:t>
            </w:r>
          </w:p>
        </w:tc>
      </w:tr>
    </w:tbl>
    <w:p w:rsidR="00A15B97" w:rsidRPr="00B45F4C" w:rsidRDefault="00A15B97" w:rsidP="00B45F4C"/>
    <w:sectPr w:rsidR="00A15B97" w:rsidRPr="00B45F4C" w:rsidSect="004E4AC4">
      <w:headerReference w:type="default" r:id="rId8"/>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AAE" w:rsidRDefault="00660AAE" w:rsidP="00CD7A76">
      <w:pPr>
        <w:spacing w:before="0" w:line="240" w:lineRule="auto"/>
      </w:pPr>
      <w:r>
        <w:separator/>
      </w:r>
    </w:p>
  </w:endnote>
  <w:endnote w:type="continuationSeparator" w:id="0">
    <w:p w:rsidR="00660AAE" w:rsidRDefault="00660AAE"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AAE" w:rsidRDefault="00660AAE" w:rsidP="00CD7A76">
      <w:pPr>
        <w:spacing w:before="0" w:line="240" w:lineRule="auto"/>
      </w:pPr>
      <w:r>
        <w:separator/>
      </w:r>
    </w:p>
  </w:footnote>
  <w:footnote w:type="continuationSeparator" w:id="0">
    <w:p w:rsidR="00660AAE" w:rsidRDefault="00660AAE" w:rsidP="00CD7A76">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AC4" w:rsidRDefault="004E4AC4">
    <w:pPr>
      <w:pStyle w:val="Header"/>
    </w:pPr>
  </w:p>
  <w:p w:rsidR="004E4AC4" w:rsidRDefault="004E4A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10017B"/>
    <w:rsid w:val="00242CDF"/>
    <w:rsid w:val="00252731"/>
    <w:rsid w:val="002A6EEA"/>
    <w:rsid w:val="003A473B"/>
    <w:rsid w:val="00401AD0"/>
    <w:rsid w:val="004E4AC4"/>
    <w:rsid w:val="0056153C"/>
    <w:rsid w:val="005A5E8B"/>
    <w:rsid w:val="005C5683"/>
    <w:rsid w:val="005D0016"/>
    <w:rsid w:val="006028B0"/>
    <w:rsid w:val="00660AAE"/>
    <w:rsid w:val="006865CA"/>
    <w:rsid w:val="00797F5C"/>
    <w:rsid w:val="008D55DB"/>
    <w:rsid w:val="00935F7E"/>
    <w:rsid w:val="00937371"/>
    <w:rsid w:val="009400A9"/>
    <w:rsid w:val="00961028"/>
    <w:rsid w:val="009B7644"/>
    <w:rsid w:val="00A07777"/>
    <w:rsid w:val="00A15B97"/>
    <w:rsid w:val="00A62690"/>
    <w:rsid w:val="00B3612D"/>
    <w:rsid w:val="00B45F4C"/>
    <w:rsid w:val="00BC2687"/>
    <w:rsid w:val="00CD7A76"/>
    <w:rsid w:val="00DC0386"/>
    <w:rsid w:val="00E259BC"/>
    <w:rsid w:val="00E61F40"/>
    <w:rsid w:val="00FB5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95409">
      <w:bodyDiv w:val="1"/>
      <w:marLeft w:val="0"/>
      <w:marRight w:val="0"/>
      <w:marTop w:val="0"/>
      <w:marBottom w:val="0"/>
      <w:divBdr>
        <w:top w:val="none" w:sz="0" w:space="0" w:color="auto"/>
        <w:left w:val="none" w:sz="0" w:space="0" w:color="auto"/>
        <w:bottom w:val="none" w:sz="0" w:space="0" w:color="auto"/>
        <w:right w:val="none" w:sz="0" w:space="0" w:color="auto"/>
      </w:divBdr>
    </w:div>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412514007">
      <w:bodyDiv w:val="1"/>
      <w:marLeft w:val="0"/>
      <w:marRight w:val="0"/>
      <w:marTop w:val="0"/>
      <w:marBottom w:val="0"/>
      <w:divBdr>
        <w:top w:val="none" w:sz="0" w:space="0" w:color="auto"/>
        <w:left w:val="none" w:sz="0" w:space="0" w:color="auto"/>
        <w:bottom w:val="none" w:sz="0" w:space="0" w:color="auto"/>
        <w:right w:val="none" w:sz="0" w:space="0" w:color="auto"/>
      </w:divBdr>
    </w:div>
    <w:div w:id="619648805">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338071210">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594391541">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E1DF40-06B9-44E7-B06A-7ABF2BD2DCE7}"/>
</file>

<file path=customXml/itemProps2.xml><?xml version="1.0" encoding="utf-8"?>
<ds:datastoreItem xmlns:ds="http://schemas.openxmlformats.org/officeDocument/2006/customXml" ds:itemID="{18D33F2A-F742-41A1-9B70-5CDACDA1CB40}"/>
</file>

<file path=customXml/itemProps3.xml><?xml version="1.0" encoding="utf-8"?>
<ds:datastoreItem xmlns:ds="http://schemas.openxmlformats.org/officeDocument/2006/customXml" ds:itemID="{6E276C79-DB31-44A0-9EF0-9260483B99F3}"/>
</file>

<file path=customXml/itemProps4.xml><?xml version="1.0" encoding="utf-8"?>
<ds:datastoreItem xmlns:ds="http://schemas.openxmlformats.org/officeDocument/2006/customXml" ds:itemID="{B1C43D1F-AA1F-48E5-950A-A828D067CFBB}"/>
</file>

<file path=docProps/app.xml><?xml version="1.0" encoding="utf-8"?>
<Properties xmlns="http://schemas.openxmlformats.org/officeDocument/2006/extended-properties" xmlns:vt="http://schemas.openxmlformats.org/officeDocument/2006/docPropsVTypes">
  <Template>Normal</Template>
  <TotalTime>14</TotalTime>
  <Pages>1</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7</cp:revision>
  <cp:lastPrinted>2024-01-15T02:05:00Z</cp:lastPrinted>
  <dcterms:created xsi:type="dcterms:W3CDTF">2023-12-31T15:03:00Z</dcterms:created>
  <dcterms:modified xsi:type="dcterms:W3CDTF">2024-01-15T02:05:00Z</dcterms:modified>
</cp:coreProperties>
</file>