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02C6B" w:rsidRPr="00002C6B" w14:paraId="753506A8" w14:textId="77777777" w:rsidTr="00002C6B">
        <w:trPr>
          <w:trHeight w:val="1021"/>
        </w:trPr>
        <w:tc>
          <w:tcPr>
            <w:tcW w:w="1544" w:type="pct"/>
            <w:hideMark/>
          </w:tcPr>
          <w:p w14:paraId="63357577" w14:textId="77777777" w:rsidR="00002C6B" w:rsidRPr="00002C6B" w:rsidRDefault="00002C6B" w:rsidP="00002C6B">
            <w:pPr>
              <w:autoSpaceDN w:val="0"/>
              <w:jc w:val="center"/>
              <w:rPr>
                <w:rFonts w:eastAsia="PMingLiU"/>
                <w:b/>
                <w:sz w:val="26"/>
                <w:szCs w:val="26"/>
                <w:lang w:val="vi-VN" w:eastAsia="en-US"/>
              </w:rPr>
            </w:pPr>
            <w:bookmarkStart w:id="0" w:name="_Hlk215493560"/>
            <w:r w:rsidRPr="00002C6B">
              <w:rPr>
                <w:rFonts w:eastAsia="PMingLiU"/>
                <w:b/>
                <w:sz w:val="26"/>
                <w:szCs w:val="26"/>
                <w:lang w:eastAsia="en-US"/>
              </w:rPr>
              <w:t xml:space="preserve">HỘI </w:t>
            </w:r>
            <w:r w:rsidRPr="00002C6B">
              <w:rPr>
                <w:rFonts w:eastAsia="PMingLiU"/>
                <w:b/>
                <w:sz w:val="26"/>
                <w:szCs w:val="26"/>
                <w:lang w:val="vi-VN" w:eastAsia="en-US"/>
              </w:rPr>
              <w:t>ĐỒNG NHÂN DÂN</w:t>
            </w:r>
          </w:p>
          <w:p w14:paraId="14E851B7" w14:textId="77777777" w:rsidR="00002C6B" w:rsidRPr="00002C6B" w:rsidRDefault="00002C6B" w:rsidP="00002C6B">
            <w:pPr>
              <w:autoSpaceDN w:val="0"/>
              <w:jc w:val="center"/>
              <w:rPr>
                <w:rFonts w:eastAsia="PMingLiU"/>
                <w:b/>
                <w:sz w:val="26"/>
                <w:szCs w:val="26"/>
                <w:lang w:eastAsia="en-US"/>
              </w:rPr>
            </w:pPr>
            <w:r w:rsidRPr="00002C6B">
              <w:rPr>
                <w:rFonts w:ascii="VnTimes" w:hAnsi="VnTimes"/>
                <w:noProof/>
                <w:sz w:val="24"/>
                <w:lang w:eastAsia="en-US"/>
              </w:rPr>
              <mc:AlternateContent>
                <mc:Choice Requires="wps">
                  <w:drawing>
                    <wp:anchor distT="4294967224" distB="4294967224" distL="114300" distR="114300" simplePos="0" relativeHeight="251663360" behindDoc="0" locked="0" layoutInCell="1" allowOverlap="1" wp14:anchorId="092C5B8D" wp14:editId="05C0F5AF">
                      <wp:simplePos x="0" y="0"/>
                      <wp:positionH relativeFrom="column">
                        <wp:posOffset>581660</wp:posOffset>
                      </wp:positionH>
                      <wp:positionV relativeFrom="paragraph">
                        <wp:posOffset>220980</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3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w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FWOftxwCAAA1BAAADgAAAAAAAAAAAAAAAAAuAgAAZHJzL2Uyb0RvYy54bWxQSwECLQAU&#10;AAYACAAAACEAvxe/q9wAAAAIAQAADwAAAAAAAAAAAAAAAAB2BAAAZHJzL2Rvd25yZXYueG1sUEsF&#10;BgAAAAAEAAQA8wAAAH8FAAAAAA==&#10;"/>
                  </w:pict>
                </mc:Fallback>
              </mc:AlternateContent>
            </w:r>
            <w:r w:rsidRPr="00002C6B">
              <w:rPr>
                <w:rFonts w:eastAsia="PMingLiU"/>
                <w:b/>
                <w:sz w:val="26"/>
                <w:szCs w:val="26"/>
                <w:lang w:val="vi-VN" w:eastAsia="en-US"/>
              </w:rPr>
              <w:t>TỈNH ĐỒNG NAI</w:t>
            </w:r>
          </w:p>
        </w:tc>
        <w:tc>
          <w:tcPr>
            <w:tcW w:w="515" w:type="pct"/>
          </w:tcPr>
          <w:p w14:paraId="2F939A25" w14:textId="77777777" w:rsidR="00002C6B" w:rsidRPr="00002C6B" w:rsidRDefault="00002C6B" w:rsidP="00002C6B">
            <w:pPr>
              <w:autoSpaceDN w:val="0"/>
              <w:jc w:val="center"/>
              <w:rPr>
                <w:rFonts w:eastAsia="PMingLiU"/>
                <w:b/>
                <w:sz w:val="26"/>
                <w:szCs w:val="26"/>
                <w:lang w:val="vi-VN" w:eastAsia="en-US"/>
              </w:rPr>
            </w:pPr>
          </w:p>
          <w:p w14:paraId="4C8D4DEA" w14:textId="77777777" w:rsidR="00002C6B" w:rsidRPr="00002C6B" w:rsidRDefault="00002C6B" w:rsidP="00002C6B">
            <w:pPr>
              <w:autoSpaceDN w:val="0"/>
              <w:jc w:val="center"/>
              <w:rPr>
                <w:rFonts w:eastAsia="PMingLiU"/>
                <w:sz w:val="28"/>
                <w:szCs w:val="28"/>
                <w:lang w:val="vi-VN" w:eastAsia="en-US"/>
              </w:rPr>
            </w:pPr>
          </w:p>
        </w:tc>
        <w:tc>
          <w:tcPr>
            <w:tcW w:w="2941" w:type="pct"/>
            <w:hideMark/>
          </w:tcPr>
          <w:p w14:paraId="63F2E6FE" w14:textId="77777777" w:rsidR="00002C6B" w:rsidRPr="00002C6B" w:rsidRDefault="00002C6B" w:rsidP="00002C6B">
            <w:pPr>
              <w:autoSpaceDN w:val="0"/>
              <w:jc w:val="center"/>
              <w:rPr>
                <w:rFonts w:eastAsia="PMingLiU"/>
                <w:b/>
                <w:sz w:val="26"/>
                <w:szCs w:val="26"/>
                <w:lang w:val="vi-VN" w:eastAsia="en-US"/>
              </w:rPr>
            </w:pPr>
            <w:r w:rsidRPr="00002C6B">
              <w:rPr>
                <w:rFonts w:eastAsia="PMingLiU"/>
                <w:b/>
                <w:sz w:val="26"/>
                <w:szCs w:val="26"/>
                <w:lang w:val="vi-VN" w:eastAsia="en-US"/>
              </w:rPr>
              <w:t>CỘNG HÒA XÃ HỘI CHỦ NGHĨA VIỆT NAM</w:t>
            </w:r>
          </w:p>
          <w:p w14:paraId="78948812" w14:textId="77777777" w:rsidR="00002C6B" w:rsidRPr="00002C6B" w:rsidRDefault="00002C6B" w:rsidP="00002C6B">
            <w:pPr>
              <w:autoSpaceDN w:val="0"/>
              <w:jc w:val="center"/>
              <w:rPr>
                <w:rFonts w:eastAsia="PMingLiU"/>
                <w:sz w:val="28"/>
                <w:szCs w:val="28"/>
                <w:lang w:val="vi-VN" w:eastAsia="en-US"/>
              </w:rPr>
            </w:pPr>
            <w:r w:rsidRPr="00002C6B">
              <w:rPr>
                <w:rFonts w:ascii="VnTimes" w:hAnsi="VnTimes"/>
                <w:noProof/>
                <w:sz w:val="24"/>
                <w:lang w:eastAsia="en-US"/>
              </w:rPr>
              <mc:AlternateContent>
                <mc:Choice Requires="wps">
                  <w:drawing>
                    <wp:anchor distT="4294967225" distB="4294967225" distL="114300" distR="114300" simplePos="0" relativeHeight="251664384" behindDoc="0" locked="0" layoutInCell="1" allowOverlap="1" wp14:anchorId="569DFCA9" wp14:editId="05F2C12E">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02C6B">
              <w:rPr>
                <w:rFonts w:eastAsia="PMingLiU"/>
                <w:b/>
                <w:sz w:val="28"/>
                <w:szCs w:val="28"/>
                <w:lang w:val="vi-VN" w:eastAsia="en-US"/>
              </w:rPr>
              <w:t>Độc lập - Tự do - Hạnh phúc</w:t>
            </w:r>
          </w:p>
        </w:tc>
      </w:tr>
      <w:tr w:rsidR="00002C6B" w:rsidRPr="00002C6B" w14:paraId="3662D905" w14:textId="77777777" w:rsidTr="00002C6B">
        <w:trPr>
          <w:trHeight w:val="20"/>
        </w:trPr>
        <w:tc>
          <w:tcPr>
            <w:tcW w:w="1544" w:type="pct"/>
            <w:hideMark/>
          </w:tcPr>
          <w:p w14:paraId="0E4D5F6F" w14:textId="481DD9CC" w:rsidR="00002C6B" w:rsidRPr="00002C6B" w:rsidRDefault="00002C6B" w:rsidP="00002C6B">
            <w:pPr>
              <w:autoSpaceDN w:val="0"/>
              <w:jc w:val="center"/>
              <w:rPr>
                <w:rFonts w:eastAsia="PMingLiU"/>
                <w:b/>
                <w:sz w:val="26"/>
                <w:szCs w:val="26"/>
                <w:lang w:val="vi-VN" w:eastAsia="en-US"/>
              </w:rPr>
            </w:pPr>
            <w:r w:rsidRPr="00002C6B">
              <w:rPr>
                <w:rFonts w:eastAsia="PMingLiU"/>
                <w:sz w:val="26"/>
                <w:szCs w:val="26"/>
                <w:lang w:val="vi-VN" w:eastAsia="en-US"/>
              </w:rPr>
              <w:t xml:space="preserve">Số: </w:t>
            </w:r>
            <w:r w:rsidRPr="00002C6B">
              <w:rPr>
                <w:rFonts w:eastAsia="PMingLiU"/>
                <w:sz w:val="26"/>
                <w:szCs w:val="26"/>
                <w:lang w:eastAsia="en-US"/>
              </w:rPr>
              <w:t>5</w:t>
            </w:r>
            <w:r>
              <w:rPr>
                <w:rFonts w:eastAsia="PMingLiU"/>
                <w:sz w:val="26"/>
                <w:szCs w:val="26"/>
                <w:lang w:eastAsia="en-US"/>
              </w:rPr>
              <w:t>5</w:t>
            </w:r>
            <w:r w:rsidRPr="00002C6B">
              <w:rPr>
                <w:rFonts w:eastAsia="PMingLiU"/>
                <w:sz w:val="26"/>
                <w:szCs w:val="26"/>
                <w:lang w:val="vi-VN" w:eastAsia="en-US"/>
              </w:rPr>
              <w:t>/NQ-HĐND</w:t>
            </w:r>
          </w:p>
        </w:tc>
        <w:tc>
          <w:tcPr>
            <w:tcW w:w="515" w:type="pct"/>
          </w:tcPr>
          <w:p w14:paraId="4952D74D" w14:textId="77777777" w:rsidR="00002C6B" w:rsidRPr="00002C6B" w:rsidRDefault="00002C6B" w:rsidP="00002C6B">
            <w:pPr>
              <w:autoSpaceDN w:val="0"/>
              <w:jc w:val="center"/>
              <w:rPr>
                <w:rFonts w:eastAsia="PMingLiU"/>
                <w:b/>
                <w:sz w:val="26"/>
                <w:szCs w:val="26"/>
                <w:lang w:val="vi-VN" w:eastAsia="en-US"/>
              </w:rPr>
            </w:pPr>
          </w:p>
        </w:tc>
        <w:tc>
          <w:tcPr>
            <w:tcW w:w="2941" w:type="pct"/>
            <w:hideMark/>
          </w:tcPr>
          <w:p w14:paraId="0A1A84BC" w14:textId="77777777" w:rsidR="00002C6B" w:rsidRPr="00002C6B" w:rsidRDefault="00002C6B" w:rsidP="00002C6B">
            <w:pPr>
              <w:autoSpaceDN w:val="0"/>
              <w:jc w:val="center"/>
              <w:rPr>
                <w:rFonts w:eastAsia="PMingLiU"/>
                <w:b/>
                <w:sz w:val="26"/>
                <w:szCs w:val="26"/>
                <w:lang w:val="vi-VN" w:eastAsia="en-US"/>
              </w:rPr>
            </w:pPr>
            <w:r w:rsidRPr="00002C6B">
              <w:rPr>
                <w:rFonts w:eastAsia="PMingLiU"/>
                <w:i/>
                <w:sz w:val="28"/>
                <w:szCs w:val="28"/>
                <w:lang w:val="vi-VN" w:eastAsia="en-US"/>
              </w:rPr>
              <w:t xml:space="preserve">Đồng Nai, ngày </w:t>
            </w:r>
            <w:r w:rsidRPr="00002C6B">
              <w:rPr>
                <w:rFonts w:eastAsia="PMingLiU"/>
                <w:i/>
                <w:sz w:val="28"/>
                <w:szCs w:val="28"/>
                <w:lang w:eastAsia="en-US"/>
              </w:rPr>
              <w:t>10</w:t>
            </w:r>
            <w:r w:rsidRPr="00002C6B">
              <w:rPr>
                <w:rFonts w:eastAsia="PMingLiU"/>
                <w:i/>
                <w:sz w:val="28"/>
                <w:szCs w:val="28"/>
                <w:lang w:val="vi-VN" w:eastAsia="en-US"/>
              </w:rPr>
              <w:t xml:space="preserve"> tháng </w:t>
            </w:r>
            <w:r w:rsidRPr="00002C6B">
              <w:rPr>
                <w:rFonts w:eastAsia="PMingLiU"/>
                <w:i/>
                <w:sz w:val="28"/>
                <w:szCs w:val="28"/>
                <w:lang w:eastAsia="en-US"/>
              </w:rPr>
              <w:t>12</w:t>
            </w:r>
            <w:r w:rsidRPr="00002C6B">
              <w:rPr>
                <w:rFonts w:eastAsia="PMingLiU"/>
                <w:i/>
                <w:sz w:val="28"/>
                <w:szCs w:val="28"/>
                <w:lang w:val="vi-VN" w:eastAsia="en-US"/>
              </w:rPr>
              <w:t xml:space="preserve"> năm 2025</w:t>
            </w:r>
          </w:p>
        </w:tc>
      </w:tr>
      <w:bookmarkEnd w:id="0"/>
    </w:tbl>
    <w:p w14:paraId="20069A9C" w14:textId="77777777" w:rsidR="00002C6B" w:rsidRPr="00002C6B" w:rsidRDefault="00002C6B" w:rsidP="00002C6B">
      <w:pPr>
        <w:pStyle w:val="Vnbnnidung0"/>
        <w:widowControl/>
        <w:adjustRightInd w:val="0"/>
        <w:snapToGrid w:val="0"/>
        <w:spacing w:after="0" w:line="240" w:lineRule="auto"/>
        <w:ind w:firstLine="0"/>
        <w:jc w:val="center"/>
        <w:rPr>
          <w:rFonts w:ascii="Times New Roman" w:hAnsi="Times New Roman"/>
          <w:b/>
          <w:bCs/>
          <w:sz w:val="28"/>
          <w:szCs w:val="28"/>
        </w:rPr>
      </w:pPr>
    </w:p>
    <w:p w14:paraId="11C41B05" w14:textId="1396FAC7" w:rsidR="00CC282D" w:rsidRPr="00002C6B" w:rsidRDefault="00CC282D" w:rsidP="00002C6B">
      <w:pPr>
        <w:pStyle w:val="Vnbnnidung0"/>
        <w:widowControl/>
        <w:adjustRightInd w:val="0"/>
        <w:snapToGrid w:val="0"/>
        <w:spacing w:after="0" w:line="240" w:lineRule="auto"/>
        <w:ind w:firstLine="0"/>
        <w:jc w:val="center"/>
        <w:rPr>
          <w:rFonts w:ascii="Times New Roman" w:hAnsi="Times New Roman"/>
          <w:sz w:val="28"/>
          <w:szCs w:val="28"/>
        </w:rPr>
      </w:pPr>
      <w:r w:rsidRPr="00002C6B">
        <w:rPr>
          <w:rFonts w:ascii="Times New Roman" w:hAnsi="Times New Roman"/>
          <w:b/>
          <w:bCs/>
          <w:sz w:val="28"/>
          <w:szCs w:val="28"/>
        </w:rPr>
        <w:t xml:space="preserve">NGHỊ QUYẾT </w:t>
      </w:r>
    </w:p>
    <w:p w14:paraId="126D3C49" w14:textId="77777777" w:rsidR="00051504" w:rsidRPr="00002C6B" w:rsidRDefault="00CC282D" w:rsidP="00002C6B">
      <w:pPr>
        <w:pStyle w:val="Vnbnnidung0"/>
        <w:widowControl/>
        <w:adjustRightInd w:val="0"/>
        <w:snapToGrid w:val="0"/>
        <w:spacing w:after="0" w:line="240" w:lineRule="auto"/>
        <w:ind w:firstLine="0"/>
        <w:jc w:val="center"/>
        <w:rPr>
          <w:rFonts w:ascii="Times New Roman" w:hAnsi="Times New Roman"/>
          <w:b/>
          <w:bCs/>
          <w:sz w:val="28"/>
          <w:szCs w:val="28"/>
        </w:rPr>
      </w:pPr>
      <w:r w:rsidRPr="00002C6B">
        <w:rPr>
          <w:rFonts w:ascii="Times New Roman" w:hAnsi="Times New Roman"/>
          <w:b/>
          <w:bCs/>
          <w:sz w:val="28"/>
          <w:szCs w:val="28"/>
        </w:rPr>
        <w:t xml:space="preserve">Về chủ trương đầu tư </w:t>
      </w:r>
      <w:r w:rsidR="006664C4" w:rsidRPr="00002C6B">
        <w:rPr>
          <w:rFonts w:ascii="Times New Roman" w:hAnsi="Times New Roman"/>
          <w:b/>
          <w:bCs/>
          <w:sz w:val="28"/>
          <w:szCs w:val="28"/>
        </w:rPr>
        <w:t>Dự án đầu tư xây d</w:t>
      </w:r>
      <w:r w:rsidR="004D2CC5" w:rsidRPr="00002C6B">
        <w:rPr>
          <w:rFonts w:ascii="Times New Roman" w:hAnsi="Times New Roman"/>
          <w:b/>
          <w:bCs/>
          <w:sz w:val="28"/>
          <w:szCs w:val="28"/>
        </w:rPr>
        <w:t>ựng cầu Long Hưng</w:t>
      </w:r>
    </w:p>
    <w:p w14:paraId="38184EE6" w14:textId="3DE4ED37" w:rsidR="00AA1CCA" w:rsidRPr="00002C6B" w:rsidRDefault="004D2CC5" w:rsidP="00002C6B">
      <w:pPr>
        <w:pStyle w:val="Vnbnnidung0"/>
        <w:widowControl/>
        <w:adjustRightInd w:val="0"/>
        <w:snapToGrid w:val="0"/>
        <w:spacing w:after="0" w:line="240" w:lineRule="auto"/>
        <w:ind w:firstLine="0"/>
        <w:jc w:val="center"/>
        <w:rPr>
          <w:rFonts w:ascii="Times New Roman" w:hAnsi="Times New Roman"/>
          <w:sz w:val="28"/>
          <w:szCs w:val="28"/>
          <w:lang w:val="vi-VN"/>
        </w:rPr>
      </w:pPr>
      <w:r w:rsidRPr="00002C6B">
        <w:rPr>
          <w:rFonts w:ascii="Times New Roman" w:hAnsi="Times New Roman"/>
          <w:b/>
          <w:bCs/>
          <w:sz w:val="28"/>
          <w:szCs w:val="28"/>
        </w:rPr>
        <w:t xml:space="preserve"> (cầu Đồng Nai 2</w:t>
      </w:r>
      <w:r w:rsidR="006664C4" w:rsidRPr="00002C6B">
        <w:rPr>
          <w:rFonts w:ascii="Times New Roman" w:hAnsi="Times New Roman"/>
          <w:b/>
          <w:bCs/>
          <w:sz w:val="28"/>
          <w:szCs w:val="28"/>
        </w:rPr>
        <w:t>)</w:t>
      </w:r>
      <w:r w:rsidR="006C76D7" w:rsidRPr="00002C6B">
        <w:rPr>
          <w:rFonts w:ascii="Times New Roman" w:hAnsi="Times New Roman"/>
          <w:b/>
          <w:bCs/>
          <w:sz w:val="28"/>
          <w:szCs w:val="28"/>
        </w:rPr>
        <w:t xml:space="preserve"> theo phương thức đối tác công tư</w:t>
      </w:r>
      <w:r w:rsidR="002378C8" w:rsidRPr="00002C6B">
        <w:rPr>
          <w:rFonts w:ascii="Times New Roman" w:hAnsi="Times New Roman"/>
          <w:b/>
          <w:bCs/>
          <w:sz w:val="28"/>
          <w:szCs w:val="28"/>
          <w:lang w:val="vi-VN"/>
        </w:rPr>
        <w:t xml:space="preserve"> </w:t>
      </w:r>
    </w:p>
    <w:p w14:paraId="25D958F2" w14:textId="06E15106" w:rsidR="001741AC" w:rsidRPr="00002C6B" w:rsidRDefault="001741AC" w:rsidP="00002C6B">
      <w:pPr>
        <w:pStyle w:val="Tiu50"/>
        <w:widowControl/>
        <w:adjustRightInd w:val="0"/>
        <w:snapToGrid w:val="0"/>
        <w:spacing w:after="0" w:line="240" w:lineRule="auto"/>
        <w:ind w:firstLine="0"/>
        <w:jc w:val="center"/>
        <w:outlineLvl w:val="9"/>
        <w:rPr>
          <w:rFonts w:ascii="Times New Roman" w:hAnsi="Times New Roman"/>
          <w:sz w:val="28"/>
          <w:szCs w:val="28"/>
        </w:rPr>
      </w:pPr>
      <w:r w:rsidRPr="00002C6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824DB50" wp14:editId="25B1D8BC">
                <wp:simplePos x="0" y="0"/>
                <wp:positionH relativeFrom="column">
                  <wp:posOffset>2336639</wp:posOffset>
                </wp:positionH>
                <wp:positionV relativeFrom="paragraph">
                  <wp:posOffset>39370</wp:posOffset>
                </wp:positionV>
                <wp:extent cx="150939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509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pt,3.1pt" to="302.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" strokecolor="black [3040]"/>
            </w:pict>
          </mc:Fallback>
        </mc:AlternateContent>
      </w:r>
    </w:p>
    <w:p w14:paraId="1797AFF0" w14:textId="36389B83" w:rsidR="00702251" w:rsidRPr="00002C6B" w:rsidRDefault="008C7067" w:rsidP="00002C6B">
      <w:pPr>
        <w:pStyle w:val="Tiu50"/>
        <w:widowControl/>
        <w:adjustRightInd w:val="0"/>
        <w:snapToGrid w:val="0"/>
        <w:spacing w:after="0" w:line="240" w:lineRule="auto"/>
        <w:ind w:firstLine="0"/>
        <w:jc w:val="center"/>
        <w:outlineLvl w:val="9"/>
        <w:rPr>
          <w:rFonts w:ascii="Times New Roman" w:hAnsi="Times New Roman"/>
          <w:sz w:val="28"/>
          <w:szCs w:val="28"/>
        </w:rPr>
      </w:pPr>
      <w:r w:rsidRPr="00002C6B">
        <w:rPr>
          <w:rFonts w:ascii="Times New Roman" w:hAnsi="Times New Roman"/>
          <w:sz w:val="28"/>
          <w:szCs w:val="28"/>
        </w:rPr>
        <w:t>HỘI ĐỒNG NHÂN DÂN TỈNH ĐỒNG NAI</w:t>
      </w:r>
      <w:r w:rsidR="00702251" w:rsidRPr="00002C6B">
        <w:rPr>
          <w:rFonts w:ascii="Times New Roman" w:hAnsi="Times New Roman"/>
          <w:sz w:val="28"/>
          <w:szCs w:val="28"/>
        </w:rPr>
        <w:t xml:space="preserve"> </w:t>
      </w:r>
    </w:p>
    <w:p w14:paraId="3145509F" w14:textId="64C7BFE9" w:rsidR="00CC282D" w:rsidRPr="00002C6B" w:rsidRDefault="00702251" w:rsidP="00002C6B">
      <w:pPr>
        <w:pStyle w:val="Tiu50"/>
        <w:widowControl/>
        <w:adjustRightInd w:val="0"/>
        <w:snapToGrid w:val="0"/>
        <w:spacing w:after="0" w:line="240" w:lineRule="auto"/>
        <w:ind w:firstLine="0"/>
        <w:jc w:val="center"/>
        <w:outlineLvl w:val="9"/>
        <w:rPr>
          <w:rFonts w:ascii="Times New Roman" w:hAnsi="Times New Roman"/>
          <w:sz w:val="28"/>
          <w:szCs w:val="28"/>
        </w:rPr>
      </w:pPr>
      <w:r w:rsidRPr="00002C6B">
        <w:rPr>
          <w:rFonts w:ascii="Times New Roman" w:hAnsi="Times New Roman"/>
          <w:sz w:val="28"/>
          <w:szCs w:val="28"/>
        </w:rPr>
        <w:t xml:space="preserve">KHÓA X KỲ HỌP THỨ </w:t>
      </w:r>
      <w:r w:rsidR="00FE6508" w:rsidRPr="00002C6B">
        <w:rPr>
          <w:rFonts w:ascii="Times New Roman" w:hAnsi="Times New Roman"/>
          <w:sz w:val="28"/>
          <w:szCs w:val="28"/>
        </w:rPr>
        <w:t>8</w:t>
      </w:r>
    </w:p>
    <w:p w14:paraId="4EF20C86" w14:textId="4FDF75E5" w:rsidR="001741AC" w:rsidRPr="00002C6B" w:rsidRDefault="001741AC" w:rsidP="00002C6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002C6B">
        <w:rPr>
          <w:rFonts w:ascii="Times New Roman" w:hAnsi="Times New Roman"/>
          <w:i/>
          <w:iCs/>
          <w:sz w:val="28"/>
          <w:szCs w:val="28"/>
        </w:rPr>
        <w:t xml:space="preserve">Căn cứ Luật Tổ chức chính quyền địa phương ngày 16 </w:t>
      </w:r>
      <w:r w:rsidR="00126692" w:rsidRPr="00002C6B">
        <w:rPr>
          <w:rFonts w:ascii="Times New Roman" w:hAnsi="Times New Roman"/>
          <w:i/>
          <w:iCs/>
          <w:sz w:val="28"/>
          <w:szCs w:val="28"/>
        </w:rPr>
        <w:t>tháng</w:t>
      </w:r>
      <w:r w:rsidRPr="00002C6B">
        <w:rPr>
          <w:rFonts w:ascii="Times New Roman" w:hAnsi="Times New Roman"/>
          <w:i/>
          <w:iCs/>
          <w:sz w:val="28"/>
          <w:szCs w:val="28"/>
        </w:rPr>
        <w:t xml:space="preserve"> 6 </w:t>
      </w:r>
      <w:r w:rsidR="00126692" w:rsidRPr="00002C6B">
        <w:rPr>
          <w:rFonts w:ascii="Times New Roman" w:hAnsi="Times New Roman"/>
          <w:i/>
          <w:iCs/>
          <w:sz w:val="28"/>
          <w:szCs w:val="28"/>
        </w:rPr>
        <w:t>năm</w:t>
      </w:r>
      <w:r w:rsidRPr="00002C6B">
        <w:rPr>
          <w:rFonts w:ascii="Times New Roman" w:hAnsi="Times New Roman"/>
          <w:i/>
          <w:iCs/>
          <w:sz w:val="28"/>
          <w:szCs w:val="28"/>
        </w:rPr>
        <w:t xml:space="preserve"> 2025;</w:t>
      </w:r>
    </w:p>
    <w:p w14:paraId="36D760EC" w14:textId="57D13F9D" w:rsidR="001741AC" w:rsidRPr="00002C6B" w:rsidRDefault="001741AC" w:rsidP="00002C6B">
      <w:pPr>
        <w:pStyle w:val="Vnbnnidung0"/>
        <w:widowControl/>
        <w:adjustRightInd w:val="0"/>
        <w:snapToGrid w:val="0"/>
        <w:spacing w:before="120" w:after="0" w:line="240" w:lineRule="auto"/>
        <w:ind w:firstLine="567"/>
        <w:jc w:val="both"/>
        <w:rPr>
          <w:rFonts w:ascii="Times New Roman" w:hAnsi="Times New Roman"/>
          <w:i/>
          <w:iCs/>
          <w:spacing w:val="-12"/>
          <w:sz w:val="28"/>
          <w:szCs w:val="28"/>
        </w:rPr>
      </w:pPr>
      <w:r w:rsidRPr="00002C6B">
        <w:rPr>
          <w:rFonts w:ascii="Times New Roman" w:hAnsi="Times New Roman"/>
          <w:i/>
          <w:iCs/>
          <w:spacing w:val="-12"/>
          <w:sz w:val="28"/>
          <w:szCs w:val="28"/>
        </w:rPr>
        <w:t>Căn cứ Luật Đầu tư theo phương thức đối tác cô</w:t>
      </w:r>
      <w:r w:rsidR="00EB7390" w:rsidRPr="00002C6B">
        <w:rPr>
          <w:rFonts w:ascii="Times New Roman" w:hAnsi="Times New Roman"/>
          <w:i/>
          <w:iCs/>
          <w:spacing w:val="-12"/>
          <w:sz w:val="28"/>
          <w:szCs w:val="28"/>
        </w:rPr>
        <w:t>ng tư ngày 18 tháng 6 năm 2020;</w:t>
      </w:r>
    </w:p>
    <w:p w14:paraId="7FAE1B51" w14:textId="3717F589" w:rsidR="001741AC" w:rsidRPr="00002C6B" w:rsidRDefault="001741AC" w:rsidP="00002C6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002C6B">
        <w:rPr>
          <w:rFonts w:ascii="Times New Roman" w:hAnsi="Times New Roman"/>
          <w:i/>
          <w:iCs/>
          <w:sz w:val="28"/>
          <w:szCs w:val="28"/>
        </w:rPr>
        <w:t xml:space="preserve">Căn cứ Luật </w:t>
      </w:r>
      <w:bookmarkStart w:id="1" w:name="loai_1_name"/>
      <w:r w:rsidR="00F946C3" w:rsidRPr="00002C6B">
        <w:rPr>
          <w:rFonts w:ascii="Times New Roman" w:hAnsi="Times New Roman"/>
          <w:i/>
          <w:iCs/>
          <w:sz w:val="28"/>
          <w:szCs w:val="28"/>
          <w:lang w:val="vi-VN"/>
        </w:rPr>
        <w:t>s</w:t>
      </w:r>
      <w:r w:rsidRPr="00002C6B">
        <w:rPr>
          <w:rFonts w:ascii="Times New Roman" w:hAnsi="Times New Roman"/>
          <w:i/>
          <w:iCs/>
          <w:sz w:val="28"/>
          <w:szCs w:val="28"/>
        </w:rPr>
        <w:t>ửa đổi, bổ sung một số điều của Luật Quy hoạch, Luật Đầu tư, Luật Đầu tư theo phương thức đối tác công tư và Luật Đấu thầu</w:t>
      </w:r>
      <w:bookmarkEnd w:id="1"/>
      <w:r w:rsidR="00EB7390" w:rsidRPr="00002C6B">
        <w:rPr>
          <w:rFonts w:ascii="Times New Roman" w:hAnsi="Times New Roman"/>
          <w:i/>
          <w:iCs/>
          <w:sz w:val="28"/>
          <w:szCs w:val="28"/>
        </w:rPr>
        <w:t xml:space="preserve"> ngày 29 tháng 11 năm 2024;</w:t>
      </w:r>
    </w:p>
    <w:p w14:paraId="745DE2A9" w14:textId="71453F08" w:rsidR="00CC282D" w:rsidRPr="00002C6B" w:rsidRDefault="001741AC" w:rsidP="00002C6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002C6B">
        <w:rPr>
          <w:rFonts w:ascii="Times New Roman" w:hAnsi="Times New Roman"/>
          <w:i/>
          <w:iCs/>
          <w:sz w:val="28"/>
          <w:szCs w:val="28"/>
        </w:rPr>
        <w:t xml:space="preserve">Căn cứ </w:t>
      </w:r>
      <w:r w:rsidR="00F946C3" w:rsidRPr="00002C6B">
        <w:rPr>
          <w:rFonts w:ascii="Times New Roman" w:hAnsi="Times New Roman"/>
          <w:i/>
          <w:iCs/>
          <w:sz w:val="28"/>
          <w:szCs w:val="28"/>
        </w:rPr>
        <w:t>Luật s</w:t>
      </w:r>
      <w:r w:rsidRPr="00002C6B">
        <w:rPr>
          <w:rFonts w:ascii="Times New Roman" w:hAnsi="Times New Roman"/>
          <w:i/>
          <w:iCs/>
          <w:sz w:val="28"/>
          <w:szCs w:val="28"/>
        </w:rPr>
        <w:t>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w:t>
      </w:r>
      <w:r w:rsidR="00CA7EA4" w:rsidRPr="00002C6B">
        <w:rPr>
          <w:rFonts w:ascii="Times New Roman" w:hAnsi="Times New Roman"/>
          <w:i/>
          <w:iCs/>
          <w:sz w:val="28"/>
          <w:szCs w:val="28"/>
        </w:rPr>
        <w:t>,</w:t>
      </w:r>
      <w:r w:rsidRPr="00002C6B">
        <w:rPr>
          <w:rFonts w:ascii="Times New Roman" w:hAnsi="Times New Roman"/>
          <w:i/>
          <w:iCs/>
          <w:sz w:val="28"/>
          <w:szCs w:val="28"/>
        </w:rPr>
        <w:t xml:space="preserve"> sử dụng tài sả</w:t>
      </w:r>
      <w:r w:rsidR="00EB7390" w:rsidRPr="00002C6B">
        <w:rPr>
          <w:rFonts w:ascii="Times New Roman" w:hAnsi="Times New Roman"/>
          <w:i/>
          <w:iCs/>
          <w:sz w:val="28"/>
          <w:szCs w:val="28"/>
        </w:rPr>
        <w:t>n công ngày 25 tháng 6 năm 2025;</w:t>
      </w:r>
    </w:p>
    <w:p w14:paraId="7B68F1B1" w14:textId="001CD450" w:rsidR="0029605F" w:rsidRPr="00002C6B" w:rsidRDefault="0029605F" w:rsidP="00002C6B">
      <w:pPr>
        <w:pStyle w:val="Vnbnnidung0"/>
        <w:widowControl/>
        <w:adjustRightInd w:val="0"/>
        <w:snapToGrid w:val="0"/>
        <w:spacing w:before="120" w:after="0" w:line="240" w:lineRule="auto"/>
        <w:ind w:firstLine="567"/>
        <w:jc w:val="both"/>
        <w:rPr>
          <w:rFonts w:ascii="Times New Roman" w:hAnsi="Times New Roman"/>
          <w:i/>
          <w:iCs/>
          <w:sz w:val="28"/>
          <w:szCs w:val="28"/>
          <w:lang w:val="en-GB"/>
        </w:rPr>
      </w:pPr>
      <w:r w:rsidRPr="00002C6B">
        <w:rPr>
          <w:rFonts w:ascii="Times New Roman" w:hAnsi="Times New Roman"/>
          <w:i/>
          <w:iCs/>
          <w:sz w:val="28"/>
          <w:szCs w:val="28"/>
        </w:rPr>
        <w:t xml:space="preserve">Căn cứ Nghị định số 243/2025/NĐ-CP ngày 11 tháng 9 năm 2025 của Chính phủ </w:t>
      </w:r>
      <w:r w:rsidRPr="00002C6B">
        <w:rPr>
          <w:rFonts w:ascii="Times New Roman" w:hAnsi="Times New Roman"/>
          <w:i/>
          <w:iCs/>
          <w:sz w:val="28"/>
          <w:szCs w:val="28"/>
          <w:lang w:val="en-GB"/>
        </w:rPr>
        <w:t>quy định chi tiết một số điều của Luật Đầu tư theo phương thức đối tác công tư;</w:t>
      </w:r>
    </w:p>
    <w:p w14:paraId="202D7D9F" w14:textId="1A4B4651" w:rsidR="00E508A2" w:rsidRPr="00002C6B" w:rsidRDefault="00E508A2" w:rsidP="00002C6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002C6B">
        <w:rPr>
          <w:rFonts w:ascii="Times New Roman" w:hAnsi="Times New Roman"/>
          <w:i/>
          <w:iCs/>
          <w:sz w:val="28"/>
          <w:szCs w:val="28"/>
          <w:lang w:val="en-GB"/>
        </w:rPr>
        <w:t xml:space="preserve">Căn cứ Nghị định số 257/2025/NĐ-CP ngày 08 tháng 10 năm 2025 của Chính phủ quy định chi tiết về việc thực hiện dự án áp dụng loại hợp đồng Xây dựng </w:t>
      </w:r>
      <w:r w:rsidR="00CA7EA4" w:rsidRPr="00002C6B">
        <w:rPr>
          <w:rFonts w:ascii="Times New Roman" w:hAnsi="Times New Roman"/>
          <w:i/>
          <w:iCs/>
          <w:sz w:val="28"/>
          <w:szCs w:val="28"/>
          <w:lang w:val="en-GB"/>
        </w:rPr>
        <w:t>-</w:t>
      </w:r>
      <w:r w:rsidRPr="00002C6B">
        <w:rPr>
          <w:rFonts w:ascii="Times New Roman" w:hAnsi="Times New Roman"/>
          <w:i/>
          <w:iCs/>
          <w:sz w:val="28"/>
          <w:szCs w:val="28"/>
          <w:lang w:val="en-GB"/>
        </w:rPr>
        <w:t xml:space="preserve"> Chuyển giao;</w:t>
      </w:r>
    </w:p>
    <w:p w14:paraId="69D4D55B" w14:textId="63CEECBE" w:rsidR="00051504" w:rsidRPr="00002C6B" w:rsidRDefault="00222AED" w:rsidP="00002C6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002C6B">
        <w:rPr>
          <w:rFonts w:ascii="Times New Roman" w:hAnsi="Times New Roman"/>
          <w:i/>
          <w:iCs/>
          <w:sz w:val="28"/>
          <w:szCs w:val="28"/>
        </w:rPr>
        <w:t>Xét Tờ trình số 221/TTr-UBND ngày</w:t>
      </w:r>
      <w:r w:rsidR="00F946C3" w:rsidRPr="00002C6B">
        <w:rPr>
          <w:rFonts w:ascii="Times New Roman" w:hAnsi="Times New Roman"/>
          <w:i/>
          <w:iCs/>
          <w:sz w:val="28"/>
          <w:szCs w:val="28"/>
          <w:lang w:val="vi-VN"/>
        </w:rPr>
        <w:t xml:space="preserve"> 0</w:t>
      </w:r>
      <w:r w:rsidRPr="00002C6B">
        <w:rPr>
          <w:rFonts w:ascii="Times New Roman" w:hAnsi="Times New Roman"/>
          <w:i/>
          <w:iCs/>
          <w:sz w:val="28"/>
          <w:szCs w:val="28"/>
        </w:rPr>
        <w:t>8</w:t>
      </w:r>
      <w:r w:rsidR="00A426ED" w:rsidRPr="00002C6B">
        <w:rPr>
          <w:rFonts w:ascii="Times New Roman" w:hAnsi="Times New Roman"/>
          <w:i/>
          <w:iCs/>
          <w:sz w:val="28"/>
          <w:szCs w:val="28"/>
        </w:rPr>
        <w:t xml:space="preserve"> tháng </w:t>
      </w:r>
      <w:r w:rsidR="00E508A2" w:rsidRPr="00002C6B">
        <w:rPr>
          <w:rFonts w:ascii="Times New Roman" w:hAnsi="Times New Roman"/>
          <w:i/>
          <w:iCs/>
          <w:sz w:val="28"/>
          <w:szCs w:val="28"/>
        </w:rPr>
        <w:t>1</w:t>
      </w:r>
      <w:r w:rsidR="006C76D7" w:rsidRPr="00002C6B">
        <w:rPr>
          <w:rFonts w:ascii="Times New Roman" w:hAnsi="Times New Roman"/>
          <w:i/>
          <w:iCs/>
          <w:sz w:val="28"/>
          <w:szCs w:val="28"/>
        </w:rPr>
        <w:t>2</w:t>
      </w:r>
      <w:r w:rsidR="00F946C3" w:rsidRPr="00002C6B">
        <w:rPr>
          <w:rFonts w:ascii="Times New Roman" w:hAnsi="Times New Roman"/>
          <w:i/>
          <w:iCs/>
          <w:sz w:val="28"/>
          <w:szCs w:val="28"/>
        </w:rPr>
        <w:t xml:space="preserve"> năm 2025 của Ủy ban nhân dân tỉnh về</w:t>
      </w:r>
      <w:r w:rsidR="00F946C3" w:rsidRPr="00002C6B">
        <w:rPr>
          <w:rFonts w:ascii="Times New Roman" w:hAnsi="Times New Roman"/>
          <w:i/>
          <w:iCs/>
          <w:sz w:val="28"/>
          <w:szCs w:val="28"/>
          <w:lang w:val="vi-VN"/>
        </w:rPr>
        <w:t xml:space="preserve"> </w:t>
      </w:r>
      <w:r w:rsidR="00F946C3" w:rsidRPr="00002C6B">
        <w:rPr>
          <w:rFonts w:ascii="Times New Roman" w:hAnsi="Times New Roman"/>
          <w:i/>
          <w:iCs/>
          <w:sz w:val="28"/>
          <w:szCs w:val="28"/>
        </w:rPr>
        <w:t>d</w:t>
      </w:r>
      <w:r w:rsidR="00126692" w:rsidRPr="00002C6B">
        <w:rPr>
          <w:rFonts w:ascii="Times New Roman" w:hAnsi="Times New Roman"/>
          <w:i/>
          <w:iCs/>
          <w:sz w:val="28"/>
          <w:szCs w:val="28"/>
        </w:rPr>
        <w:t xml:space="preserve">ự thảo Nghị quyết </w:t>
      </w:r>
      <w:r w:rsidR="00A426ED" w:rsidRPr="00002C6B">
        <w:rPr>
          <w:rFonts w:ascii="Times New Roman" w:hAnsi="Times New Roman"/>
          <w:i/>
          <w:iCs/>
          <w:sz w:val="28"/>
          <w:szCs w:val="28"/>
        </w:rPr>
        <w:t xml:space="preserve">chủ trương đầu tư </w:t>
      </w:r>
      <w:r w:rsidR="006664C4" w:rsidRPr="00002C6B">
        <w:rPr>
          <w:rFonts w:ascii="Times New Roman" w:hAnsi="Times New Roman"/>
          <w:i/>
          <w:iCs/>
          <w:sz w:val="28"/>
          <w:szCs w:val="28"/>
        </w:rPr>
        <w:t>Dự án đầu tư xây dựng cầu Long Hưng (cầu Đồng Nai 2)</w:t>
      </w:r>
      <w:r w:rsidRPr="00002C6B">
        <w:rPr>
          <w:rFonts w:ascii="Times New Roman" w:hAnsi="Times New Roman"/>
          <w:i/>
          <w:iCs/>
          <w:sz w:val="28"/>
          <w:szCs w:val="28"/>
          <w:lang w:val="vi-VN"/>
        </w:rPr>
        <w:t>,</w:t>
      </w:r>
      <w:r w:rsidR="001741AC" w:rsidRPr="00002C6B">
        <w:rPr>
          <w:rFonts w:ascii="Times New Roman" w:hAnsi="Times New Roman"/>
          <w:i/>
          <w:iCs/>
          <w:sz w:val="28"/>
          <w:szCs w:val="28"/>
        </w:rPr>
        <w:t xml:space="preserve"> </w:t>
      </w:r>
      <w:r w:rsidR="00A426ED" w:rsidRPr="00002C6B">
        <w:rPr>
          <w:rFonts w:ascii="Times New Roman" w:hAnsi="Times New Roman"/>
          <w:i/>
          <w:iCs/>
          <w:sz w:val="28"/>
          <w:szCs w:val="28"/>
        </w:rPr>
        <w:t>theo phương thức đối tác công tư; Báo cáo thẩm tra</w:t>
      </w:r>
      <w:r w:rsidRPr="00002C6B">
        <w:rPr>
          <w:rFonts w:ascii="Times New Roman" w:hAnsi="Times New Roman"/>
          <w:i/>
          <w:iCs/>
          <w:sz w:val="28"/>
          <w:szCs w:val="28"/>
        </w:rPr>
        <w:t xml:space="preserve"> số 729/BC-BKTNS ngày </w:t>
      </w:r>
      <w:r w:rsidR="00F946C3" w:rsidRPr="00002C6B">
        <w:rPr>
          <w:rFonts w:ascii="Times New Roman" w:hAnsi="Times New Roman"/>
          <w:i/>
          <w:iCs/>
          <w:sz w:val="28"/>
          <w:szCs w:val="28"/>
          <w:lang w:val="vi-VN"/>
        </w:rPr>
        <w:t>0</w:t>
      </w:r>
      <w:r w:rsidRPr="00002C6B">
        <w:rPr>
          <w:rFonts w:ascii="Times New Roman" w:hAnsi="Times New Roman"/>
          <w:i/>
          <w:iCs/>
          <w:sz w:val="28"/>
          <w:szCs w:val="28"/>
        </w:rPr>
        <w:t>8 tháng 12 năm 2025</w:t>
      </w:r>
      <w:r w:rsidR="00A426ED" w:rsidRPr="00002C6B">
        <w:rPr>
          <w:rFonts w:ascii="Times New Roman" w:hAnsi="Times New Roman"/>
          <w:i/>
          <w:iCs/>
          <w:sz w:val="28"/>
          <w:szCs w:val="28"/>
        </w:rPr>
        <w:t xml:space="preserve"> của Ban Kinh tế - Ngân sách Hội đồng nhân dân tỉnh; ý kiến thảo luận của đại biểu Hội đồng nhân dân tỉnh tại kỳ họp</w:t>
      </w:r>
      <w:r w:rsidR="006F58E1" w:rsidRPr="00002C6B">
        <w:rPr>
          <w:rFonts w:ascii="Times New Roman" w:hAnsi="Times New Roman"/>
          <w:i/>
          <w:iCs/>
          <w:sz w:val="28"/>
          <w:szCs w:val="28"/>
        </w:rPr>
        <w:t>.</w:t>
      </w:r>
    </w:p>
    <w:p w14:paraId="00A595F8" w14:textId="0FF73AA4" w:rsidR="00051504" w:rsidRPr="00002C6B" w:rsidRDefault="00CC282D" w:rsidP="00002C6B">
      <w:pPr>
        <w:pStyle w:val="Vnbnnidung0"/>
        <w:widowControl/>
        <w:adjustRightInd w:val="0"/>
        <w:snapToGrid w:val="0"/>
        <w:spacing w:before="240" w:after="240" w:line="240" w:lineRule="auto"/>
        <w:ind w:firstLine="0"/>
        <w:jc w:val="center"/>
        <w:rPr>
          <w:rFonts w:ascii="Times New Roman" w:hAnsi="Times New Roman"/>
          <w:b/>
          <w:bCs/>
          <w:sz w:val="28"/>
          <w:szCs w:val="28"/>
        </w:rPr>
      </w:pPr>
      <w:r w:rsidRPr="00002C6B">
        <w:rPr>
          <w:rFonts w:ascii="Times New Roman" w:hAnsi="Times New Roman"/>
          <w:b/>
          <w:bCs/>
          <w:sz w:val="28"/>
          <w:szCs w:val="28"/>
        </w:rPr>
        <w:t>QUYẾT NGHỊ:</w:t>
      </w:r>
      <w:bookmarkStart w:id="2" w:name="bookmark1368"/>
      <w:bookmarkStart w:id="3" w:name="bookmark1369"/>
    </w:p>
    <w:p w14:paraId="05601E76" w14:textId="1055B921" w:rsidR="00051504" w:rsidRPr="00002C6B" w:rsidRDefault="00CC282D" w:rsidP="00002C6B">
      <w:pPr>
        <w:pStyle w:val="Vnbnnidung0"/>
        <w:widowControl/>
        <w:adjustRightInd w:val="0"/>
        <w:snapToGrid w:val="0"/>
        <w:spacing w:before="120" w:after="0" w:line="240" w:lineRule="auto"/>
        <w:ind w:firstLine="567"/>
        <w:jc w:val="both"/>
        <w:rPr>
          <w:rFonts w:ascii="Times New Roman" w:hAnsi="Times New Roman"/>
          <w:sz w:val="28"/>
          <w:szCs w:val="28"/>
        </w:rPr>
      </w:pPr>
      <w:r w:rsidRPr="00002C6B">
        <w:rPr>
          <w:rFonts w:ascii="Times New Roman" w:hAnsi="Times New Roman"/>
          <w:b/>
          <w:bCs/>
          <w:sz w:val="28"/>
          <w:szCs w:val="28"/>
        </w:rPr>
        <w:t>Điều 1.</w:t>
      </w:r>
      <w:r w:rsidRPr="00002C6B">
        <w:rPr>
          <w:rFonts w:ascii="Times New Roman" w:hAnsi="Times New Roman"/>
          <w:sz w:val="28"/>
          <w:szCs w:val="28"/>
        </w:rPr>
        <w:t xml:space="preserve"> Phê duyệt chủ trương đầu tư </w:t>
      </w:r>
      <w:r w:rsidR="006664C4" w:rsidRPr="00002C6B">
        <w:rPr>
          <w:rFonts w:ascii="Times New Roman" w:hAnsi="Times New Roman"/>
          <w:sz w:val="28"/>
          <w:szCs w:val="28"/>
        </w:rPr>
        <w:t>Dự án đầu tư xây dựng cầu Long Hưng (cầu Đồng Nai 2)</w:t>
      </w:r>
      <w:r w:rsidRPr="00002C6B">
        <w:rPr>
          <w:rFonts w:ascii="Times New Roman" w:hAnsi="Times New Roman"/>
          <w:sz w:val="28"/>
          <w:szCs w:val="28"/>
        </w:rPr>
        <w:t xml:space="preserve"> </w:t>
      </w:r>
      <w:r w:rsidR="00335B90" w:rsidRPr="00002C6B">
        <w:rPr>
          <w:rFonts w:ascii="Times New Roman" w:hAnsi="Times New Roman"/>
          <w:sz w:val="28"/>
          <w:szCs w:val="28"/>
        </w:rPr>
        <w:t>theo phương thức đối tác công tư</w:t>
      </w:r>
      <w:r w:rsidR="002378C8" w:rsidRPr="00002C6B">
        <w:rPr>
          <w:rFonts w:ascii="Times New Roman" w:hAnsi="Times New Roman"/>
          <w:sz w:val="28"/>
          <w:szCs w:val="28"/>
          <w:lang w:val="vi-VN"/>
        </w:rPr>
        <w:t xml:space="preserve"> (PPP)</w:t>
      </w:r>
      <w:r w:rsidR="00335B90" w:rsidRPr="00002C6B">
        <w:rPr>
          <w:rFonts w:ascii="Times New Roman" w:hAnsi="Times New Roman"/>
          <w:sz w:val="28"/>
          <w:szCs w:val="28"/>
        </w:rPr>
        <w:t xml:space="preserve"> </w:t>
      </w:r>
      <w:r w:rsidRPr="00002C6B">
        <w:rPr>
          <w:rFonts w:ascii="Times New Roman" w:hAnsi="Times New Roman"/>
          <w:sz w:val="28"/>
          <w:szCs w:val="28"/>
        </w:rPr>
        <w:t>với các nội dung sau:</w:t>
      </w:r>
      <w:bookmarkStart w:id="4" w:name="bookmark1370"/>
      <w:bookmarkStart w:id="5" w:name="_Hlk98924756"/>
      <w:bookmarkStart w:id="6" w:name="_Hlk208407163"/>
      <w:bookmarkStart w:id="7" w:name="_Hlk99957790"/>
      <w:bookmarkEnd w:id="2"/>
      <w:bookmarkEnd w:id="3"/>
    </w:p>
    <w:bookmarkEnd w:id="4"/>
    <w:bookmarkEnd w:id="5"/>
    <w:bookmarkEnd w:id="6"/>
    <w:bookmarkEnd w:id="7"/>
    <w:p w14:paraId="68303E12" w14:textId="43ABE2A2" w:rsidR="006664C4" w:rsidRPr="00002C6B" w:rsidRDefault="006664C4" w:rsidP="00002C6B">
      <w:pPr>
        <w:pStyle w:val="Default"/>
        <w:spacing w:before="120"/>
        <w:ind w:firstLine="567"/>
        <w:jc w:val="both"/>
        <w:rPr>
          <w:color w:val="auto"/>
          <w:sz w:val="28"/>
          <w:szCs w:val="28"/>
        </w:rPr>
      </w:pPr>
      <w:r w:rsidRPr="00002C6B">
        <w:rPr>
          <w:color w:val="auto"/>
          <w:sz w:val="28"/>
          <w:szCs w:val="28"/>
        </w:rPr>
        <w:t>1. Mục tiêu dự án</w:t>
      </w:r>
    </w:p>
    <w:p w14:paraId="1DCA33F3" w14:textId="197B4D25"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bookmarkStart w:id="8" w:name="bookmark1371"/>
      <w:r w:rsidRPr="00002C6B">
        <w:rPr>
          <w:rFonts w:eastAsia="Calibri"/>
          <w:noProof/>
          <w:sz w:val="28"/>
          <w:szCs w:val="28"/>
          <w:lang w:eastAsia="en-US"/>
        </w:rPr>
        <w:t xml:space="preserve">Việc đầu tư cầu </w:t>
      </w:r>
      <w:r w:rsidR="00A7309C" w:rsidRPr="00002C6B">
        <w:rPr>
          <w:rFonts w:eastAsia="Calibri"/>
          <w:noProof/>
          <w:sz w:val="28"/>
          <w:szCs w:val="28"/>
          <w:lang w:eastAsia="en-US"/>
        </w:rPr>
        <w:t>Long Hưng</w:t>
      </w:r>
      <w:r w:rsidR="00471516" w:rsidRPr="00002C6B">
        <w:rPr>
          <w:rFonts w:eastAsia="Calibri"/>
          <w:noProof/>
          <w:sz w:val="28"/>
          <w:szCs w:val="28"/>
          <w:lang w:val="vi-VN" w:eastAsia="en-US"/>
        </w:rPr>
        <w:t xml:space="preserve"> (cầu Đồng Nai 2)</w:t>
      </w:r>
      <w:r w:rsidRPr="00002C6B">
        <w:rPr>
          <w:rFonts w:eastAsia="Calibri"/>
          <w:noProof/>
          <w:sz w:val="28"/>
          <w:szCs w:val="28"/>
          <w:lang w:eastAsia="en-US"/>
        </w:rPr>
        <w:t xml:space="preserve"> nhằm tăng cường kết nối tỉnh Đồng Nai và Thành phố Hồ Chí Minh, tạo động lực phát triển kinh tế - xã hội trên địa bàn tỉnh Đồng Nai</w:t>
      </w:r>
      <w:r w:rsidR="00A7309C" w:rsidRPr="00002C6B">
        <w:rPr>
          <w:rFonts w:eastAsia="Calibri"/>
          <w:noProof/>
          <w:sz w:val="28"/>
          <w:szCs w:val="28"/>
          <w:lang w:eastAsia="en-US"/>
        </w:rPr>
        <w:t>.</w:t>
      </w:r>
      <w:r w:rsidRPr="00002C6B">
        <w:rPr>
          <w:rFonts w:eastAsia="Calibri"/>
          <w:noProof/>
          <w:sz w:val="28"/>
          <w:szCs w:val="28"/>
          <w:lang w:eastAsia="en-US"/>
        </w:rPr>
        <w:t xml:space="preserve"> Các tuyến đường như cao tốc Bến Lức – Long Thành dự kiến cuối năm 2026 </w:t>
      </w:r>
      <w:r w:rsidR="00F946C3" w:rsidRPr="00002C6B">
        <w:rPr>
          <w:rFonts w:eastAsia="Calibri"/>
          <w:noProof/>
          <w:sz w:val="28"/>
          <w:szCs w:val="28"/>
          <w:lang w:val="vi-VN" w:eastAsia="en-US"/>
        </w:rPr>
        <w:t>sẽ</w:t>
      </w:r>
      <w:r w:rsidRPr="00002C6B">
        <w:rPr>
          <w:rFonts w:eastAsia="Calibri"/>
          <w:noProof/>
          <w:sz w:val="28"/>
          <w:szCs w:val="28"/>
          <w:lang w:eastAsia="en-US"/>
        </w:rPr>
        <w:t xml:space="preserve"> đưa được vào khai thác thông tuyến, dự án mở rộng đường cao tốc Thành phố Hồ Chí Minh – Long Thành </w:t>
      </w:r>
      <w:r w:rsidR="00CA7EA4" w:rsidRPr="00002C6B">
        <w:rPr>
          <w:rFonts w:eastAsia="Calibri"/>
          <w:noProof/>
          <w:sz w:val="28"/>
          <w:szCs w:val="28"/>
          <w:lang w:eastAsia="en-US"/>
        </w:rPr>
        <w:t>-</w:t>
      </w:r>
      <w:r w:rsidRPr="00002C6B">
        <w:rPr>
          <w:rFonts w:eastAsia="Calibri"/>
          <w:noProof/>
          <w:sz w:val="28"/>
          <w:szCs w:val="28"/>
          <w:lang w:eastAsia="en-US"/>
        </w:rPr>
        <w:t xml:space="preserve"> Dầu Giây dự kiến đến </w:t>
      </w:r>
      <w:r w:rsidR="002378C8" w:rsidRPr="00002C6B">
        <w:rPr>
          <w:rFonts w:eastAsia="Calibri"/>
          <w:noProof/>
          <w:sz w:val="28"/>
          <w:szCs w:val="28"/>
          <w:lang w:val="vi-VN" w:eastAsia="en-US"/>
        </w:rPr>
        <w:t xml:space="preserve">năm </w:t>
      </w:r>
      <w:r w:rsidRPr="00002C6B">
        <w:rPr>
          <w:rFonts w:eastAsia="Calibri"/>
          <w:noProof/>
          <w:sz w:val="28"/>
          <w:szCs w:val="28"/>
          <w:lang w:eastAsia="en-US"/>
        </w:rPr>
        <w:t xml:space="preserve">2027 hoàn thành đưa vào khai thác. </w:t>
      </w:r>
      <w:r w:rsidR="00F946C3" w:rsidRPr="00002C6B">
        <w:rPr>
          <w:rFonts w:eastAsia="Calibri"/>
          <w:noProof/>
          <w:sz w:val="28"/>
          <w:szCs w:val="28"/>
          <w:lang w:val="vi-VN" w:eastAsia="en-US"/>
        </w:rPr>
        <w:t>Cả</w:t>
      </w:r>
      <w:r w:rsidR="002378C8" w:rsidRPr="00002C6B">
        <w:rPr>
          <w:rFonts w:eastAsia="Calibri"/>
          <w:noProof/>
          <w:sz w:val="28"/>
          <w:szCs w:val="28"/>
          <w:lang w:val="vi-VN" w:eastAsia="en-US"/>
        </w:rPr>
        <w:t>ng hàng không q</w:t>
      </w:r>
      <w:r w:rsidR="00F946C3" w:rsidRPr="00002C6B">
        <w:rPr>
          <w:rFonts w:eastAsia="Calibri"/>
          <w:noProof/>
          <w:sz w:val="28"/>
          <w:szCs w:val="28"/>
          <w:lang w:val="vi-VN" w:eastAsia="en-US"/>
        </w:rPr>
        <w:t>uốc tế</w:t>
      </w:r>
      <w:r w:rsidRPr="00002C6B">
        <w:rPr>
          <w:rFonts w:eastAsia="Calibri"/>
          <w:noProof/>
          <w:sz w:val="28"/>
          <w:szCs w:val="28"/>
          <w:lang w:eastAsia="en-US"/>
        </w:rPr>
        <w:t xml:space="preserve"> Long Thành dự kiến đưa vào khai thác </w:t>
      </w:r>
      <w:r w:rsidRPr="00002C6B">
        <w:rPr>
          <w:rFonts w:eastAsia="Calibri"/>
          <w:noProof/>
          <w:sz w:val="28"/>
          <w:szCs w:val="28"/>
          <w:lang w:eastAsia="en-US"/>
        </w:rPr>
        <w:lastRenderedPageBreak/>
        <w:t>từ cuối năm 2025, khai thác thương mại từ giữa năm 2026, dự kiến tiếp tục mở rộng công suất ở các</w:t>
      </w:r>
      <w:r w:rsidR="00F946C3" w:rsidRPr="00002C6B">
        <w:rPr>
          <w:rFonts w:eastAsia="Calibri"/>
          <w:noProof/>
          <w:sz w:val="28"/>
          <w:szCs w:val="28"/>
          <w:lang w:eastAsia="en-US"/>
        </w:rPr>
        <w:t xml:space="preserve"> năm 2030 và năm</w:t>
      </w:r>
      <w:r w:rsidRPr="00002C6B">
        <w:rPr>
          <w:rFonts w:eastAsia="Calibri"/>
          <w:noProof/>
          <w:sz w:val="28"/>
          <w:szCs w:val="28"/>
          <w:lang w:eastAsia="en-US"/>
        </w:rPr>
        <w:t xml:space="preserve"> 2035. Do vậy, áp lực giao thông sẽ tiếp tục gia tăng lên các tuyến đường, cầu kết nối hiện nay và tình trạng ùn tắc giao thông sẽ còn nghiêm trọng.</w:t>
      </w:r>
    </w:p>
    <w:p w14:paraId="7137AAF8" w14:textId="500CAEA2"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xml:space="preserve">Để đạt được những mục tiêu tăng trưởng </w:t>
      </w:r>
      <w:r w:rsidR="00471516" w:rsidRPr="00002C6B">
        <w:rPr>
          <w:rFonts w:eastAsia="Calibri"/>
          <w:noProof/>
          <w:sz w:val="28"/>
          <w:szCs w:val="28"/>
          <w:lang w:val="vi-VN" w:eastAsia="en-US"/>
        </w:rPr>
        <w:t>hai con số</w:t>
      </w:r>
      <w:r w:rsidRPr="00002C6B">
        <w:rPr>
          <w:rFonts w:eastAsia="Calibri"/>
          <w:noProof/>
          <w:sz w:val="28"/>
          <w:szCs w:val="28"/>
          <w:lang w:eastAsia="en-US"/>
        </w:rPr>
        <w:t xml:space="preserve"> trên 10% của hai tỉnh Đồng Nai và Thành phố Hồ Chí Minh trong giai đoạ</w:t>
      </w:r>
      <w:r w:rsidR="00CA7EA4" w:rsidRPr="00002C6B">
        <w:rPr>
          <w:rFonts w:eastAsia="Calibri"/>
          <w:noProof/>
          <w:sz w:val="28"/>
          <w:szCs w:val="28"/>
          <w:lang w:eastAsia="en-US"/>
        </w:rPr>
        <w:t>n 2025 -</w:t>
      </w:r>
      <w:r w:rsidRPr="00002C6B">
        <w:rPr>
          <w:rFonts w:eastAsia="Calibri"/>
          <w:noProof/>
          <w:sz w:val="28"/>
          <w:szCs w:val="28"/>
          <w:lang w:eastAsia="en-US"/>
        </w:rPr>
        <w:t xml:space="preserve"> 2030, thì những nút thắt về hạ tầng, nhất là hạ tầng giao thông kết nối cần phải được tháo gỡ, các tuyến đường, công trình cầu kết nối cần phải được đầu tư xây dựng, mở rộng gấp rút thì mới có thể đáp ứng được tốc độ tăng trưởng của nền kinh tế nói chung. </w:t>
      </w:r>
    </w:p>
    <w:p w14:paraId="0C2E6F24" w14:textId="5E48A12B" w:rsidR="00A0038E"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Vì vậy</w:t>
      </w:r>
      <w:r w:rsidR="00512F92" w:rsidRPr="00002C6B">
        <w:rPr>
          <w:rFonts w:eastAsia="Calibri"/>
          <w:noProof/>
          <w:sz w:val="28"/>
          <w:szCs w:val="28"/>
          <w:lang w:val="vi-VN" w:eastAsia="en-US"/>
        </w:rPr>
        <w:t>,</w:t>
      </w:r>
      <w:r w:rsidRPr="00002C6B">
        <w:rPr>
          <w:rFonts w:eastAsia="Calibri"/>
          <w:noProof/>
          <w:sz w:val="28"/>
          <w:szCs w:val="28"/>
          <w:lang w:eastAsia="en-US"/>
        </w:rPr>
        <w:t xml:space="preserve"> việc tiếp tục đẩy mạnh đầu tư hệ thống hạ tầng giao thông kết nối Đồng Nai với các tỉnh, thành trong khu vực là </w:t>
      </w:r>
      <w:r w:rsidR="00471516" w:rsidRPr="00002C6B">
        <w:rPr>
          <w:rFonts w:eastAsia="Calibri"/>
          <w:noProof/>
          <w:sz w:val="28"/>
          <w:szCs w:val="28"/>
          <w:lang w:val="vi-VN" w:eastAsia="en-US"/>
        </w:rPr>
        <w:t>rất</w:t>
      </w:r>
      <w:r w:rsidRPr="00002C6B">
        <w:rPr>
          <w:rFonts w:eastAsia="Calibri"/>
          <w:noProof/>
          <w:sz w:val="28"/>
          <w:szCs w:val="28"/>
          <w:lang w:eastAsia="en-US"/>
        </w:rPr>
        <w:t xml:space="preserve"> quan trọng, thúc đẩy tốc độ tăng trưởng kinh tế, góp phần nâng cao năng lực cạnh tranh của nền kinh tế.</w:t>
      </w:r>
    </w:p>
    <w:p w14:paraId="40FABA69" w14:textId="53E17ABC"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rPr>
        <w:t>Dự án đầu tư xây dựng cầu Long Hưng (cầu Đồng Nai 2) đáp ứng nhu cầu cấp bách về kết nối giao thông từ khu vực phía Bắc và Đông Bắ</w:t>
      </w:r>
      <w:r w:rsidR="00471516" w:rsidRPr="00002C6B">
        <w:rPr>
          <w:rFonts w:eastAsia="Calibri"/>
          <w:noProof/>
          <w:sz w:val="28"/>
          <w:szCs w:val="28"/>
        </w:rPr>
        <w:t xml:space="preserve">c </w:t>
      </w:r>
      <w:r w:rsidR="00471516" w:rsidRPr="00002C6B">
        <w:rPr>
          <w:rFonts w:eastAsia="Calibri"/>
          <w:noProof/>
          <w:sz w:val="28"/>
          <w:szCs w:val="28"/>
          <w:lang w:val="vi-VN"/>
        </w:rPr>
        <w:t>T</w:t>
      </w:r>
      <w:r w:rsidRPr="00002C6B">
        <w:rPr>
          <w:rFonts w:eastAsia="Calibri"/>
          <w:noProof/>
          <w:sz w:val="28"/>
          <w:szCs w:val="28"/>
        </w:rPr>
        <w:t xml:space="preserve">hành phố Hồ Chí Minh với tỉnh Đồng Nai, hỗ trợ giải quyết tình trạng ùn tắc giao thông trên tuyến Xa lộ Hà Nội, tuyến Long Thành - Dầu Giây. Bên cạnh đó, việc hình thành dự án sẽ trực tiếp thúc đẩy quá trình đô thị hóa và </w:t>
      </w:r>
      <w:r w:rsidR="002378C8" w:rsidRPr="00002C6B">
        <w:rPr>
          <w:sz w:val="28"/>
          <w:szCs w:val="28"/>
        </w:rPr>
        <w:t>nâng cao năng lực cạnh tranh của vùng kinh tế trọng điểm phía Nam.</w:t>
      </w:r>
    </w:p>
    <w:p w14:paraId="6DCE1C24" w14:textId="647846F9" w:rsidR="006664C4" w:rsidRPr="00002C6B" w:rsidRDefault="006664C4" w:rsidP="00002C6B">
      <w:pPr>
        <w:autoSpaceDE w:val="0"/>
        <w:autoSpaceDN w:val="0"/>
        <w:adjustRightInd w:val="0"/>
        <w:spacing w:before="120"/>
        <w:ind w:firstLine="567"/>
        <w:jc w:val="both"/>
        <w:rPr>
          <w:rFonts w:eastAsia="Calibri"/>
          <w:sz w:val="28"/>
          <w:szCs w:val="28"/>
          <w:lang w:val="vi-VN" w:eastAsia="en-US"/>
        </w:rPr>
      </w:pPr>
      <w:r w:rsidRPr="00002C6B">
        <w:rPr>
          <w:rFonts w:eastAsia="Calibri"/>
          <w:sz w:val="28"/>
          <w:szCs w:val="28"/>
          <w:lang w:eastAsia="en-US"/>
        </w:rPr>
        <w:t>2</w:t>
      </w:r>
      <w:bookmarkEnd w:id="8"/>
      <w:r w:rsidRPr="00002C6B">
        <w:rPr>
          <w:rFonts w:eastAsia="Calibri"/>
          <w:sz w:val="28"/>
          <w:szCs w:val="28"/>
          <w:lang w:eastAsia="en-US"/>
        </w:rPr>
        <w:t>. Dự kiến quy mô, địa điểm thực hiện dự án</w:t>
      </w:r>
      <w:bookmarkStart w:id="9" w:name="bookmark1372"/>
      <w:r w:rsidR="004D752C" w:rsidRPr="00002C6B">
        <w:rPr>
          <w:rFonts w:eastAsia="Calibri"/>
          <w:sz w:val="28"/>
          <w:szCs w:val="28"/>
          <w:lang w:val="vi-VN" w:eastAsia="en-US"/>
        </w:rPr>
        <w:t>:</w:t>
      </w:r>
    </w:p>
    <w:p w14:paraId="047FBA90" w14:textId="4A6ACA19" w:rsidR="009C26DF"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a) Quy mô đầu tư, công suất dự án: Dự</w:t>
      </w:r>
      <w:r w:rsidR="00471516" w:rsidRPr="00002C6B">
        <w:rPr>
          <w:rFonts w:eastAsia="Calibri"/>
          <w:noProof/>
          <w:sz w:val="28"/>
          <w:szCs w:val="28"/>
          <w:lang w:eastAsia="en-US"/>
        </w:rPr>
        <w:t xml:space="preserve"> án nhóm A; l</w:t>
      </w:r>
      <w:r w:rsidRPr="00002C6B">
        <w:rPr>
          <w:rFonts w:eastAsia="Calibri"/>
          <w:noProof/>
          <w:sz w:val="28"/>
          <w:szCs w:val="28"/>
          <w:lang w:eastAsia="en-US"/>
        </w:rPr>
        <w:t>oại công trình: cầu và đườ</w:t>
      </w:r>
      <w:r w:rsidR="00471516" w:rsidRPr="00002C6B">
        <w:rPr>
          <w:rFonts w:eastAsia="Calibri"/>
          <w:noProof/>
          <w:sz w:val="28"/>
          <w:szCs w:val="28"/>
          <w:lang w:eastAsia="en-US"/>
        </w:rPr>
        <w:t>ng giao thông; c</w:t>
      </w:r>
      <w:r w:rsidRPr="00002C6B">
        <w:rPr>
          <w:rFonts w:eastAsia="Calibri"/>
          <w:noProof/>
          <w:sz w:val="28"/>
          <w:szCs w:val="28"/>
          <w:lang w:eastAsia="en-US"/>
        </w:rPr>
        <w:t>ấp công trình: cấp đặc biệ</w:t>
      </w:r>
      <w:bookmarkStart w:id="10" w:name="_Hlk215749717"/>
      <w:r w:rsidR="009C26DF" w:rsidRPr="00002C6B">
        <w:rPr>
          <w:rFonts w:eastAsia="Calibri"/>
          <w:noProof/>
          <w:sz w:val="28"/>
          <w:szCs w:val="28"/>
          <w:lang w:eastAsia="en-US"/>
        </w:rPr>
        <w:t>t.</w:t>
      </w:r>
    </w:p>
    <w:p w14:paraId="71C5A301" w14:textId="05C573D6"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xml:space="preserve">Dự án đầu tư xây dựng cầu Long Hưng (cầu Đồng Nai 2) có điểm đầu dự </w:t>
      </w:r>
      <w:r w:rsidR="00521F29" w:rsidRPr="00002C6B">
        <w:rPr>
          <w:rFonts w:eastAsia="Calibri"/>
          <w:noProof/>
          <w:sz w:val="28"/>
          <w:szCs w:val="28"/>
          <w:lang w:eastAsia="en-US"/>
        </w:rPr>
        <w:t>án</w:t>
      </w:r>
      <w:r w:rsidRPr="00002C6B">
        <w:rPr>
          <w:rFonts w:eastAsia="Calibri"/>
          <w:noProof/>
          <w:sz w:val="28"/>
          <w:szCs w:val="28"/>
          <w:lang w:eastAsia="en-US"/>
        </w:rPr>
        <w:t xml:space="preserve"> tại phường Long Phước, Thành phố Hồ Chí Minh, điểm cuối dự án giao với cao tốc Biên Hòa </w:t>
      </w:r>
      <w:r w:rsidR="00CA7EA4" w:rsidRPr="00002C6B">
        <w:rPr>
          <w:rFonts w:eastAsia="Calibri"/>
          <w:noProof/>
          <w:sz w:val="28"/>
          <w:szCs w:val="28"/>
          <w:lang w:eastAsia="en-US"/>
        </w:rPr>
        <w:t>-</w:t>
      </w:r>
      <w:r w:rsidRPr="00002C6B">
        <w:rPr>
          <w:rFonts w:eastAsia="Calibri"/>
          <w:noProof/>
          <w:sz w:val="28"/>
          <w:szCs w:val="28"/>
          <w:lang w:eastAsia="en-US"/>
        </w:rPr>
        <w:t xml:space="preserve"> Vũng Tàu; trong đó:</w:t>
      </w:r>
    </w:p>
    <w:p w14:paraId="460B637C" w14:textId="47FFA581"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Xây dựng cầu Long Hưng (cầu Đồng Nai 2) và tuyến đường với quy mô đường phố chính chủ yếu, vận tốc thiết kế</w:t>
      </w:r>
      <w:r w:rsidR="009C26DF" w:rsidRPr="00002C6B">
        <w:rPr>
          <w:rFonts w:eastAsia="Calibri"/>
          <w:noProof/>
          <w:sz w:val="28"/>
          <w:szCs w:val="28"/>
          <w:lang w:eastAsia="en-US"/>
        </w:rPr>
        <w:t xml:space="preserve"> 80</w:t>
      </w:r>
      <w:r w:rsidRPr="00002C6B">
        <w:rPr>
          <w:rFonts w:eastAsia="Calibri"/>
          <w:noProof/>
          <w:sz w:val="28"/>
          <w:szCs w:val="28"/>
          <w:lang w:eastAsia="en-US"/>
        </w:rPr>
        <w:t>km/h theo tiêu chuẩn TCVN 13592:</w:t>
      </w:r>
      <w:r w:rsidR="009C26DF" w:rsidRPr="00002C6B">
        <w:rPr>
          <w:rFonts w:eastAsia="Calibri"/>
          <w:noProof/>
          <w:sz w:val="28"/>
          <w:szCs w:val="28"/>
          <w:lang w:eastAsia="en-US"/>
        </w:rPr>
        <w:t>2022 đ</w:t>
      </w:r>
      <w:r w:rsidRPr="00002C6B">
        <w:rPr>
          <w:rFonts w:eastAsia="Calibri"/>
          <w:noProof/>
          <w:sz w:val="28"/>
          <w:szCs w:val="28"/>
          <w:lang w:eastAsia="en-US"/>
        </w:rPr>
        <w:t>ường đô thị</w:t>
      </w:r>
      <w:r w:rsidR="009C26DF" w:rsidRPr="00002C6B">
        <w:rPr>
          <w:rFonts w:eastAsia="Calibri"/>
          <w:noProof/>
          <w:sz w:val="28"/>
          <w:szCs w:val="28"/>
          <w:lang w:eastAsia="en-US"/>
        </w:rPr>
        <w:t xml:space="preserve"> - y</w:t>
      </w:r>
      <w:r w:rsidRPr="00002C6B">
        <w:rPr>
          <w:rFonts w:eastAsia="Calibri"/>
          <w:noProof/>
          <w:sz w:val="28"/>
          <w:szCs w:val="28"/>
          <w:lang w:eastAsia="en-US"/>
        </w:rPr>
        <w:t>êu cầu thiết kế.</w:t>
      </w:r>
    </w:p>
    <w:p w14:paraId="3DF46B48" w14:textId="12665991"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Tổng chiều dài cầu và tuyến khoảng 9,8km. Trong đó</w:t>
      </w:r>
      <w:r w:rsidR="00512F92" w:rsidRPr="00002C6B">
        <w:rPr>
          <w:rFonts w:eastAsia="Calibri"/>
          <w:noProof/>
          <w:sz w:val="28"/>
          <w:szCs w:val="28"/>
          <w:lang w:val="vi-VN" w:eastAsia="en-US"/>
        </w:rPr>
        <w:t>,</w:t>
      </w:r>
      <w:r w:rsidR="00512F92" w:rsidRPr="00002C6B">
        <w:rPr>
          <w:rFonts w:eastAsia="Calibri"/>
          <w:noProof/>
          <w:sz w:val="28"/>
          <w:szCs w:val="28"/>
          <w:lang w:eastAsia="en-US"/>
        </w:rPr>
        <w:t xml:space="preserve"> c</w:t>
      </w:r>
      <w:r w:rsidRPr="00002C6B">
        <w:rPr>
          <w:rFonts w:eastAsia="Calibri"/>
          <w:noProof/>
          <w:sz w:val="28"/>
          <w:szCs w:val="28"/>
          <w:lang w:eastAsia="en-US"/>
        </w:rPr>
        <w:t>ầu Long Hưng (cầu Đồng Nai 2) dài khoả</w:t>
      </w:r>
      <w:r w:rsidR="009C26DF" w:rsidRPr="00002C6B">
        <w:rPr>
          <w:rFonts w:eastAsia="Calibri"/>
          <w:noProof/>
          <w:sz w:val="28"/>
          <w:szCs w:val="28"/>
          <w:lang w:eastAsia="en-US"/>
        </w:rPr>
        <w:t>ng 3,5</w:t>
      </w:r>
      <w:r w:rsidRPr="00002C6B">
        <w:rPr>
          <w:rFonts w:eastAsia="Calibri"/>
          <w:noProof/>
          <w:sz w:val="28"/>
          <w:szCs w:val="28"/>
          <w:lang w:eastAsia="en-US"/>
        </w:rPr>
        <w:t>km.</w:t>
      </w:r>
    </w:p>
    <w:p w14:paraId="64C47DD3" w14:textId="732F9CA2"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Quy mô cầu Long Hưng (cầu Đồng Nai 2): Bề rộ</w:t>
      </w:r>
      <w:r w:rsidR="00CE66DA" w:rsidRPr="00002C6B">
        <w:rPr>
          <w:rFonts w:eastAsia="Calibri"/>
          <w:noProof/>
          <w:sz w:val="28"/>
          <w:szCs w:val="28"/>
          <w:lang w:eastAsia="en-US"/>
        </w:rPr>
        <w:t>ng 36,0</w:t>
      </w:r>
      <w:r w:rsidRPr="00002C6B">
        <w:rPr>
          <w:rFonts w:eastAsia="Calibri"/>
          <w:noProof/>
          <w:sz w:val="28"/>
          <w:szCs w:val="28"/>
          <w:lang w:eastAsia="en-US"/>
        </w:rPr>
        <w:t>m được phân bổ</w:t>
      </w:r>
      <w:r w:rsidR="009C26DF" w:rsidRPr="00002C6B">
        <w:rPr>
          <w:rFonts w:eastAsia="Calibri"/>
          <w:noProof/>
          <w:sz w:val="28"/>
          <w:szCs w:val="28"/>
          <w:lang w:eastAsia="en-US"/>
        </w:rPr>
        <w:t xml:space="preserve"> như sau:</w:t>
      </w:r>
    </w:p>
    <w:p w14:paraId="611BEB3B" w14:textId="6CFE83D6"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làn xe cơ giới: 6</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3,75m.</w:t>
      </w:r>
    </w:p>
    <w:p w14:paraId="071C1FA3" w14:textId="46A9227E"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làn xe hỗn hợp: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3,50m.</w:t>
      </w:r>
    </w:p>
    <w:p w14:paraId="5CF66497" w14:textId="0A88CFF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các dải an toàn: 4</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0,50m.</w:t>
      </w:r>
    </w:p>
    <w:p w14:paraId="737DCD6B" w14:textId="7777777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Phần tháp và neo dây giữa cầu: 2,50m.</w:t>
      </w:r>
    </w:p>
    <w:p w14:paraId="3C3E7689" w14:textId="096DFB4E"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lan can hai bên: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0,50m.</w:t>
      </w:r>
    </w:p>
    <w:p w14:paraId="43563891" w14:textId="6D48243F"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xml:space="preserve">+ Chiều rộng gờ chắn </w:t>
      </w:r>
      <w:r w:rsidR="00523B93" w:rsidRPr="00002C6B">
        <w:rPr>
          <w:rFonts w:eastAsia="Calibri"/>
          <w:noProof/>
          <w:sz w:val="28"/>
          <w:szCs w:val="28"/>
          <w:lang w:val="vi-VN" w:eastAsia="en-US"/>
        </w:rPr>
        <w:t>d</w:t>
      </w:r>
      <w:r w:rsidRPr="00002C6B">
        <w:rPr>
          <w:rFonts w:eastAsia="Calibri"/>
          <w:noProof/>
          <w:sz w:val="28"/>
          <w:szCs w:val="28"/>
          <w:lang w:eastAsia="en-US"/>
        </w:rPr>
        <w:t>ải phân cách giữa: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0,25m.</w:t>
      </w:r>
    </w:p>
    <w:p w14:paraId="5DC4E180" w14:textId="71451B25"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dải lan can phân cách ô tô và xe hỗn hợp: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0,25m.</w:t>
      </w:r>
    </w:p>
    <w:p w14:paraId="650BC8A2" w14:textId="7777777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Tổng cộng: 36,00m.</w:t>
      </w:r>
    </w:p>
    <w:p w14:paraId="101CE697" w14:textId="63D7EC6A"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lastRenderedPageBreak/>
        <w:t>- Quy mô mặt cắt ngang đường: Bề rộng 60m được phân bổ như sau:</w:t>
      </w:r>
    </w:p>
    <w:p w14:paraId="3FC6EC5F" w14:textId="04E305BA"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đường chính (6 làn ô tô):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12,25m.</w:t>
      </w:r>
    </w:p>
    <w:p w14:paraId="4D66D738" w14:textId="7777777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dải phân cách giữa: 3m.</w:t>
      </w:r>
    </w:p>
    <w:p w14:paraId="7D5B6FF5" w14:textId="0C692C3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đường song hành (2 làn ô tô, 2 làn hỗn hợp):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8,25m.</w:t>
      </w:r>
    </w:p>
    <w:p w14:paraId="37E30A6F" w14:textId="2EF876B2"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dải phân cách bên: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2m.</w:t>
      </w:r>
    </w:p>
    <w:p w14:paraId="1C1404B1" w14:textId="3F587F75"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Chiều rộng vỉa hè: 2</w:t>
      </w:r>
      <w:r w:rsidR="009C26DF" w:rsidRPr="00002C6B">
        <w:rPr>
          <w:rFonts w:eastAsia="Calibri"/>
          <w:noProof/>
          <w:sz w:val="28"/>
          <w:szCs w:val="28"/>
          <w:lang w:val="vi-VN" w:eastAsia="en-US"/>
        </w:rPr>
        <w:t xml:space="preserve"> </w:t>
      </w:r>
      <w:r w:rsidRPr="00002C6B">
        <w:rPr>
          <w:rFonts w:eastAsia="Calibri"/>
          <w:noProof/>
          <w:sz w:val="28"/>
          <w:szCs w:val="28"/>
          <w:lang w:eastAsia="en-US"/>
        </w:rPr>
        <w:t>x</w:t>
      </w:r>
      <w:r w:rsidR="009C26DF" w:rsidRPr="00002C6B">
        <w:rPr>
          <w:rFonts w:eastAsia="Calibri"/>
          <w:noProof/>
          <w:sz w:val="28"/>
          <w:szCs w:val="28"/>
          <w:lang w:val="vi-VN" w:eastAsia="en-US"/>
        </w:rPr>
        <w:t xml:space="preserve"> </w:t>
      </w:r>
      <w:r w:rsidRPr="00002C6B">
        <w:rPr>
          <w:rFonts w:eastAsia="Calibri"/>
          <w:noProof/>
          <w:sz w:val="28"/>
          <w:szCs w:val="28"/>
          <w:lang w:eastAsia="en-US"/>
        </w:rPr>
        <w:t>6m.</w:t>
      </w:r>
    </w:p>
    <w:p w14:paraId="4704AEE6" w14:textId="7777777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Tổng cộng: 60m.</w:t>
      </w:r>
    </w:p>
    <w:p w14:paraId="19B69B07" w14:textId="77777777" w:rsidR="006664C4" w:rsidRPr="00002C6B" w:rsidRDefault="006664C4" w:rsidP="00002C6B">
      <w:pPr>
        <w:autoSpaceDE w:val="0"/>
        <w:autoSpaceDN w:val="0"/>
        <w:adjustRightInd w:val="0"/>
        <w:spacing w:before="120"/>
        <w:ind w:firstLine="567"/>
        <w:jc w:val="both"/>
        <w:rPr>
          <w:rFonts w:eastAsia="Calibri"/>
          <w:noProof/>
          <w:sz w:val="28"/>
          <w:szCs w:val="28"/>
          <w:lang w:eastAsia="en-US"/>
        </w:rPr>
      </w:pPr>
      <w:r w:rsidRPr="00002C6B">
        <w:rPr>
          <w:rFonts w:eastAsia="Calibri"/>
          <w:noProof/>
          <w:sz w:val="28"/>
          <w:szCs w:val="28"/>
          <w:lang w:eastAsia="en-US"/>
        </w:rPr>
        <w:t>- Xây dựng các công trình, nút giao trên tuyến kết nối với hệ thống đường hiện tại và đường quy hoạch.</w:t>
      </w:r>
      <w:bookmarkEnd w:id="10"/>
    </w:p>
    <w:p w14:paraId="0D661D7C" w14:textId="77777777"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b) Địa điểm: phường Tam Phước, xã An Phước, tỉnh Đồng Nai và phường Long Phước, Thành phố Hồ Chí Minh.</w:t>
      </w:r>
    </w:p>
    <w:p w14:paraId="2185CB88" w14:textId="77777777"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sz w:val="28"/>
          <w:szCs w:val="28"/>
          <w:lang w:eastAsia="en-US"/>
        </w:rPr>
        <w:t>3</w:t>
      </w:r>
      <w:bookmarkEnd w:id="9"/>
      <w:r w:rsidRPr="00002C6B">
        <w:rPr>
          <w:rFonts w:eastAsia="Calibri"/>
          <w:sz w:val="28"/>
          <w:szCs w:val="28"/>
          <w:lang w:eastAsia="en-US"/>
        </w:rPr>
        <w:t>. Dự kiến thời gian thực hiện dự án:</w:t>
      </w:r>
      <w:r w:rsidRPr="00002C6B">
        <w:rPr>
          <w:rFonts w:eastAsia="Calibri"/>
          <w:bCs/>
          <w:sz w:val="28"/>
          <w:szCs w:val="28"/>
          <w:lang w:eastAsia="en-US"/>
        </w:rPr>
        <w:t xml:space="preserve"> </w:t>
      </w:r>
      <w:bookmarkStart w:id="11" w:name="bookmark1373"/>
    </w:p>
    <w:p w14:paraId="24DDDDB3" w14:textId="09C926D0" w:rsidR="006664C4" w:rsidRPr="00002C6B" w:rsidRDefault="00126692"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 xml:space="preserve">a) </w:t>
      </w:r>
      <w:r w:rsidR="006664C4" w:rsidRPr="00002C6B">
        <w:rPr>
          <w:rFonts w:eastAsia="Calibri"/>
          <w:bCs/>
          <w:sz w:val="28"/>
          <w:szCs w:val="28"/>
          <w:lang w:eastAsia="en-US"/>
        </w:rPr>
        <w:t>Thời gian chuẩn bị dự án: từ</w:t>
      </w:r>
      <w:r w:rsidR="009C26DF" w:rsidRPr="00002C6B">
        <w:rPr>
          <w:rFonts w:eastAsia="Calibri"/>
          <w:bCs/>
          <w:sz w:val="28"/>
          <w:szCs w:val="28"/>
          <w:lang w:val="vi-VN" w:eastAsia="en-US"/>
        </w:rPr>
        <w:t xml:space="preserve"> năm</w:t>
      </w:r>
      <w:r w:rsidR="006664C4" w:rsidRPr="00002C6B">
        <w:rPr>
          <w:rFonts w:eastAsia="Calibri"/>
          <w:bCs/>
          <w:sz w:val="28"/>
          <w:szCs w:val="28"/>
          <w:lang w:eastAsia="en-US"/>
        </w:rPr>
        <w:t xml:space="preserve"> 2025.</w:t>
      </w:r>
    </w:p>
    <w:p w14:paraId="6E8EE5D4" w14:textId="77AC6527" w:rsidR="006664C4" w:rsidRPr="00002C6B" w:rsidRDefault="00126692"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 xml:space="preserve">b) </w:t>
      </w:r>
      <w:r w:rsidR="006664C4" w:rsidRPr="00002C6B">
        <w:rPr>
          <w:rFonts w:eastAsia="Calibri"/>
          <w:bCs/>
          <w:sz w:val="28"/>
          <w:szCs w:val="28"/>
          <w:lang w:eastAsia="en-US"/>
        </w:rPr>
        <w:t xml:space="preserve">Thời gian xây dựng: từ </w:t>
      </w:r>
      <w:r w:rsidR="009C26DF" w:rsidRPr="00002C6B">
        <w:rPr>
          <w:rFonts w:eastAsia="Calibri"/>
          <w:bCs/>
          <w:sz w:val="28"/>
          <w:szCs w:val="28"/>
          <w:lang w:val="vi-VN" w:eastAsia="en-US"/>
        </w:rPr>
        <w:t xml:space="preserve">năm </w:t>
      </w:r>
      <w:r w:rsidR="006664C4" w:rsidRPr="00002C6B">
        <w:rPr>
          <w:rFonts w:eastAsia="Calibri"/>
          <w:bCs/>
          <w:sz w:val="28"/>
          <w:szCs w:val="28"/>
          <w:lang w:eastAsia="en-US"/>
        </w:rPr>
        <w:t>2026 –</w:t>
      </w:r>
      <w:r w:rsidR="00512F92" w:rsidRPr="00002C6B">
        <w:rPr>
          <w:rFonts w:eastAsia="Calibri"/>
          <w:bCs/>
          <w:sz w:val="28"/>
          <w:szCs w:val="28"/>
          <w:lang w:val="vi-VN" w:eastAsia="en-US"/>
        </w:rPr>
        <w:t xml:space="preserve"> </w:t>
      </w:r>
      <w:r w:rsidR="006664C4" w:rsidRPr="00002C6B">
        <w:rPr>
          <w:rFonts w:eastAsia="Calibri"/>
          <w:bCs/>
          <w:sz w:val="28"/>
          <w:szCs w:val="28"/>
          <w:lang w:eastAsia="en-US"/>
        </w:rPr>
        <w:t>2028.</w:t>
      </w:r>
    </w:p>
    <w:p w14:paraId="7B13F2FE" w14:textId="045FFAED" w:rsidR="006664C4" w:rsidRPr="00002C6B" w:rsidRDefault="00126692"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 xml:space="preserve">c) </w:t>
      </w:r>
      <w:r w:rsidR="006664C4" w:rsidRPr="00002C6B">
        <w:rPr>
          <w:rFonts w:eastAsia="Calibri"/>
          <w:bCs/>
          <w:sz w:val="28"/>
          <w:szCs w:val="28"/>
          <w:lang w:eastAsia="en-US"/>
        </w:rPr>
        <w:t xml:space="preserve">Thời gian Hợp đồng dự án (dự kiến): từ </w:t>
      </w:r>
      <w:r w:rsidR="009C26DF" w:rsidRPr="00002C6B">
        <w:rPr>
          <w:rFonts w:eastAsia="Calibri"/>
          <w:bCs/>
          <w:sz w:val="28"/>
          <w:szCs w:val="28"/>
          <w:lang w:val="vi-VN" w:eastAsia="en-US"/>
        </w:rPr>
        <w:t xml:space="preserve">năm </w:t>
      </w:r>
      <w:r w:rsidR="006664C4" w:rsidRPr="00002C6B">
        <w:rPr>
          <w:rFonts w:eastAsia="Calibri"/>
          <w:bCs/>
          <w:sz w:val="28"/>
          <w:szCs w:val="28"/>
          <w:lang w:eastAsia="en-US"/>
        </w:rPr>
        <w:t>2026 đến thời điểm địa phương hoàn thành việc thanh toán vốn cho nhà đầu tư.</w:t>
      </w:r>
    </w:p>
    <w:p w14:paraId="475DF994" w14:textId="0340F0CD"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sz w:val="28"/>
          <w:szCs w:val="28"/>
          <w:lang w:eastAsia="en-US"/>
        </w:rPr>
        <w:t>4</w:t>
      </w:r>
      <w:bookmarkEnd w:id="11"/>
      <w:r w:rsidRPr="00002C6B">
        <w:rPr>
          <w:rFonts w:eastAsia="Calibri"/>
          <w:sz w:val="28"/>
          <w:szCs w:val="28"/>
          <w:lang w:eastAsia="en-US"/>
        </w:rPr>
        <w:t>. Dự kiến nhu cầu sử dụng đất</w:t>
      </w:r>
      <w:bookmarkStart w:id="12" w:name="bookmark1374"/>
      <w:r w:rsidRPr="00002C6B">
        <w:rPr>
          <w:rFonts w:eastAsia="Calibri"/>
          <w:sz w:val="28"/>
          <w:szCs w:val="28"/>
          <w:lang w:eastAsia="en-US"/>
        </w:rPr>
        <w:t>:</w:t>
      </w:r>
      <w:r w:rsidRPr="00002C6B">
        <w:rPr>
          <w:rFonts w:eastAsia="Calibri"/>
          <w:bCs/>
          <w:sz w:val="28"/>
          <w:szCs w:val="28"/>
          <w:lang w:eastAsia="en-US"/>
        </w:rPr>
        <w:t xml:space="preserve"> khoảng </w:t>
      </w:r>
      <w:r w:rsidRPr="00002C6B">
        <w:rPr>
          <w:rFonts w:eastAsia="Calibri"/>
          <w:bCs/>
          <w:sz w:val="28"/>
          <w:szCs w:val="28"/>
          <w:lang w:val="en" w:eastAsia="en-US"/>
        </w:rPr>
        <w:t>52,8</w:t>
      </w:r>
      <w:r w:rsidR="009C26DF" w:rsidRPr="00002C6B">
        <w:rPr>
          <w:rFonts w:eastAsia="Calibri"/>
          <w:bCs/>
          <w:sz w:val="28"/>
          <w:szCs w:val="28"/>
          <w:lang w:val="vi-VN" w:eastAsia="en-US"/>
        </w:rPr>
        <w:t xml:space="preserve"> </w:t>
      </w:r>
      <w:r w:rsidRPr="00002C6B">
        <w:rPr>
          <w:rFonts w:eastAsia="Calibri"/>
          <w:bCs/>
          <w:sz w:val="28"/>
          <w:szCs w:val="28"/>
          <w:lang w:val="en" w:eastAsia="en-US"/>
        </w:rPr>
        <w:t>ha</w:t>
      </w:r>
      <w:r w:rsidRPr="00002C6B">
        <w:rPr>
          <w:rFonts w:eastAsia="Calibri"/>
          <w:bCs/>
          <w:sz w:val="28"/>
          <w:szCs w:val="28"/>
          <w:lang w:eastAsia="en-US"/>
        </w:rPr>
        <w:t xml:space="preserve"> thuộc tỉnh Đồng Nai.</w:t>
      </w:r>
    </w:p>
    <w:p w14:paraId="7B3C6D9E" w14:textId="49C5F265"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sz w:val="28"/>
          <w:szCs w:val="28"/>
          <w:lang w:eastAsia="en-US"/>
        </w:rPr>
        <w:t>5</w:t>
      </w:r>
      <w:bookmarkEnd w:id="12"/>
      <w:r w:rsidRPr="00002C6B">
        <w:rPr>
          <w:rFonts w:eastAsia="Calibri"/>
          <w:sz w:val="28"/>
          <w:szCs w:val="28"/>
          <w:lang w:eastAsia="en-US"/>
        </w:rPr>
        <w:t>. Dự kiến loại hợp đồng dự án PPP:</w:t>
      </w:r>
      <w:bookmarkStart w:id="13" w:name="bookmark1375"/>
      <w:r w:rsidRPr="00002C6B">
        <w:rPr>
          <w:rFonts w:eastAsia="Calibri"/>
          <w:bCs/>
          <w:sz w:val="28"/>
          <w:szCs w:val="28"/>
          <w:lang w:eastAsia="en-US"/>
        </w:rPr>
        <w:t xml:space="preserve"> Hợp đồng Xây dựng – Chuyể</w:t>
      </w:r>
      <w:r w:rsidR="00126692" w:rsidRPr="00002C6B">
        <w:rPr>
          <w:rFonts w:eastAsia="Calibri"/>
          <w:bCs/>
          <w:sz w:val="28"/>
          <w:szCs w:val="28"/>
          <w:lang w:eastAsia="en-US"/>
        </w:rPr>
        <w:t>n giao (BT). Dự kiến thanh toán cho nhà đầu tư từ nguồn thu đấu giá quỹ đất công hoặc nguồn vốn đầu tư công</w:t>
      </w:r>
      <w:r w:rsidRPr="00002C6B">
        <w:rPr>
          <w:rFonts w:eastAsia="Calibri"/>
          <w:bCs/>
          <w:sz w:val="28"/>
          <w:szCs w:val="28"/>
          <w:lang w:eastAsia="en-US"/>
        </w:rPr>
        <w:t>.</w:t>
      </w:r>
    </w:p>
    <w:p w14:paraId="584631D8" w14:textId="63AB5B23"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6</w:t>
      </w:r>
      <w:bookmarkEnd w:id="13"/>
      <w:r w:rsidRPr="00002C6B">
        <w:rPr>
          <w:rFonts w:eastAsia="Calibri"/>
          <w:bCs/>
          <w:sz w:val="28"/>
          <w:szCs w:val="28"/>
          <w:lang w:eastAsia="en-US"/>
        </w:rPr>
        <w:t xml:space="preserve">. </w:t>
      </w:r>
      <w:bookmarkStart w:id="14" w:name="_Hlk208847344"/>
      <w:r w:rsidRPr="00002C6B">
        <w:rPr>
          <w:rFonts w:eastAsia="Calibri"/>
          <w:bCs/>
          <w:sz w:val="28"/>
          <w:szCs w:val="28"/>
          <w:lang w:eastAsia="en-US"/>
        </w:rPr>
        <w:t>Sơ bộ tổng mức đầu tư của dự</w:t>
      </w:r>
      <w:r w:rsidR="009C26DF" w:rsidRPr="00002C6B">
        <w:rPr>
          <w:rFonts w:eastAsia="Calibri"/>
          <w:bCs/>
          <w:sz w:val="28"/>
          <w:szCs w:val="28"/>
          <w:lang w:eastAsia="en-US"/>
        </w:rPr>
        <w:t xml:space="preserve"> án</w:t>
      </w:r>
      <w:r w:rsidRPr="00002C6B">
        <w:rPr>
          <w:rFonts w:eastAsia="Calibri"/>
          <w:bCs/>
          <w:sz w:val="28"/>
          <w:szCs w:val="28"/>
          <w:lang w:eastAsia="en-US"/>
        </w:rPr>
        <w:t xml:space="preserve"> </w:t>
      </w:r>
      <w:bookmarkStart w:id="15" w:name="bookmark1376"/>
      <w:bookmarkEnd w:id="14"/>
      <w:r w:rsidRPr="00002C6B">
        <w:rPr>
          <w:rFonts w:eastAsia="Calibri"/>
          <w:bCs/>
          <w:sz w:val="28"/>
          <w:szCs w:val="28"/>
          <w:lang w:eastAsia="en-US"/>
        </w:rPr>
        <w:t xml:space="preserve">khoảng 11.495,84 tỷ đồng </w:t>
      </w:r>
      <w:r w:rsidRPr="00002C6B">
        <w:rPr>
          <w:rFonts w:eastAsia="Calibri"/>
          <w:bCs/>
          <w:i/>
          <w:iCs/>
          <w:sz w:val="28"/>
          <w:szCs w:val="28"/>
          <w:lang w:eastAsia="en-US"/>
        </w:rPr>
        <w:t>(chưa bao gồm lãi vay)</w:t>
      </w:r>
      <w:r w:rsidRPr="00002C6B">
        <w:rPr>
          <w:rFonts w:eastAsia="Calibri"/>
          <w:bCs/>
          <w:sz w:val="28"/>
          <w:szCs w:val="28"/>
          <w:lang w:eastAsia="en-US"/>
        </w:rPr>
        <w:t>, trong đó:</w:t>
      </w:r>
    </w:p>
    <w:p w14:paraId="17F31798" w14:textId="24EF2951"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a) Chi phí xây dựng và thiết bị khoả</w:t>
      </w:r>
      <w:r w:rsidR="00EB7390" w:rsidRPr="00002C6B">
        <w:rPr>
          <w:rFonts w:eastAsia="Calibri"/>
          <w:bCs/>
          <w:sz w:val="28"/>
          <w:szCs w:val="28"/>
          <w:lang w:eastAsia="en-US"/>
        </w:rPr>
        <w:t>ng</w:t>
      </w:r>
      <w:r w:rsidRPr="00002C6B">
        <w:rPr>
          <w:rFonts w:eastAsia="Calibri"/>
          <w:bCs/>
          <w:sz w:val="28"/>
          <w:szCs w:val="28"/>
          <w:lang w:eastAsia="en-US"/>
        </w:rPr>
        <w:t xml:space="preserve"> 8.142,82 tỷ đồng.</w:t>
      </w:r>
    </w:p>
    <w:p w14:paraId="63DCD9D0" w14:textId="010ACFDF"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b) Chi phí bồi thường, hỗ trợ tái định cư khoả</w:t>
      </w:r>
      <w:r w:rsidR="00EB7390" w:rsidRPr="00002C6B">
        <w:rPr>
          <w:rFonts w:eastAsia="Calibri"/>
          <w:bCs/>
          <w:sz w:val="28"/>
          <w:szCs w:val="28"/>
          <w:lang w:eastAsia="en-US"/>
        </w:rPr>
        <w:t>ng</w:t>
      </w:r>
      <w:r w:rsidRPr="00002C6B">
        <w:rPr>
          <w:rFonts w:eastAsia="Calibri"/>
          <w:bCs/>
          <w:sz w:val="28"/>
          <w:szCs w:val="28"/>
          <w:lang w:eastAsia="en-US"/>
        </w:rPr>
        <w:t xml:space="preserve"> 776,07 tỷ đồng.</w:t>
      </w:r>
    </w:p>
    <w:p w14:paraId="2A9CF83A" w14:textId="1EF9ED41" w:rsidR="006664C4" w:rsidRPr="00002C6B" w:rsidRDefault="006664C4" w:rsidP="00002C6B">
      <w:pPr>
        <w:autoSpaceDE w:val="0"/>
        <w:autoSpaceDN w:val="0"/>
        <w:adjustRightInd w:val="0"/>
        <w:spacing w:before="120"/>
        <w:ind w:firstLine="567"/>
        <w:jc w:val="both"/>
        <w:rPr>
          <w:rFonts w:eastAsia="Calibri"/>
          <w:bCs/>
          <w:spacing w:val="-10"/>
          <w:sz w:val="28"/>
          <w:szCs w:val="28"/>
          <w:lang w:eastAsia="en-US"/>
        </w:rPr>
      </w:pPr>
      <w:r w:rsidRPr="00002C6B">
        <w:rPr>
          <w:rFonts w:eastAsia="Calibri"/>
          <w:bCs/>
          <w:spacing w:val="-10"/>
          <w:sz w:val="28"/>
          <w:szCs w:val="28"/>
          <w:lang w:eastAsia="en-US"/>
        </w:rPr>
        <w:t>c) Chi phí quản lý dự án, chi phí tư vấn và chi phí khác khoả</w:t>
      </w:r>
      <w:r w:rsidR="00EB7390" w:rsidRPr="00002C6B">
        <w:rPr>
          <w:rFonts w:eastAsia="Calibri"/>
          <w:bCs/>
          <w:spacing w:val="-10"/>
          <w:sz w:val="28"/>
          <w:szCs w:val="28"/>
          <w:lang w:eastAsia="en-US"/>
        </w:rPr>
        <w:t>ng</w:t>
      </w:r>
      <w:r w:rsidRPr="00002C6B">
        <w:rPr>
          <w:rFonts w:eastAsia="Calibri"/>
          <w:bCs/>
          <w:spacing w:val="-10"/>
          <w:sz w:val="28"/>
          <w:szCs w:val="28"/>
          <w:lang w:eastAsia="en-US"/>
        </w:rPr>
        <w:t xml:space="preserve"> 814,28 tỷ đồng.</w:t>
      </w:r>
    </w:p>
    <w:p w14:paraId="62EB7F9E" w14:textId="1A429860"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d) Chi phí dự phòng khoả</w:t>
      </w:r>
      <w:r w:rsidR="00EB7390" w:rsidRPr="00002C6B">
        <w:rPr>
          <w:rFonts w:eastAsia="Calibri"/>
          <w:bCs/>
          <w:sz w:val="28"/>
          <w:szCs w:val="28"/>
          <w:lang w:eastAsia="en-US"/>
        </w:rPr>
        <w:t>ng</w:t>
      </w:r>
      <w:r w:rsidRPr="00002C6B">
        <w:rPr>
          <w:rFonts w:eastAsia="Calibri"/>
          <w:bCs/>
          <w:sz w:val="28"/>
          <w:szCs w:val="28"/>
          <w:lang w:eastAsia="en-US"/>
        </w:rPr>
        <w:t xml:space="preserve"> 1.762,67 tỷ đồng.</w:t>
      </w:r>
    </w:p>
    <w:p w14:paraId="7F8BB33A" w14:textId="77777777" w:rsidR="006664C4" w:rsidRPr="00002C6B" w:rsidRDefault="006664C4" w:rsidP="00002C6B">
      <w:pPr>
        <w:autoSpaceDE w:val="0"/>
        <w:autoSpaceDN w:val="0"/>
        <w:adjustRightInd w:val="0"/>
        <w:spacing w:before="120"/>
        <w:ind w:firstLine="567"/>
        <w:jc w:val="both"/>
        <w:rPr>
          <w:rFonts w:eastAsia="Calibri"/>
          <w:sz w:val="28"/>
          <w:szCs w:val="28"/>
          <w:lang w:eastAsia="en-US"/>
        </w:rPr>
      </w:pPr>
      <w:r w:rsidRPr="00002C6B">
        <w:rPr>
          <w:rFonts w:eastAsia="Calibri"/>
          <w:sz w:val="28"/>
          <w:szCs w:val="28"/>
          <w:lang w:eastAsia="en-US"/>
        </w:rPr>
        <w:t>7</w:t>
      </w:r>
      <w:bookmarkEnd w:id="15"/>
      <w:r w:rsidRPr="00002C6B">
        <w:rPr>
          <w:rFonts w:eastAsia="Calibri"/>
          <w:sz w:val="28"/>
          <w:szCs w:val="28"/>
          <w:lang w:eastAsia="en-US"/>
        </w:rPr>
        <w:t>. Sơ bộ phương án tài chính của dự án</w:t>
      </w:r>
    </w:p>
    <w:p w14:paraId="2D67A850" w14:textId="54EDE0FC" w:rsidR="006664C4" w:rsidRPr="00002C6B" w:rsidRDefault="009C26DF" w:rsidP="00002C6B">
      <w:pPr>
        <w:autoSpaceDE w:val="0"/>
        <w:autoSpaceDN w:val="0"/>
        <w:adjustRightInd w:val="0"/>
        <w:spacing w:before="120"/>
        <w:ind w:firstLine="567"/>
        <w:jc w:val="both"/>
        <w:rPr>
          <w:rFonts w:eastAsia="Calibri"/>
          <w:bCs/>
          <w:sz w:val="28"/>
          <w:szCs w:val="28"/>
          <w:lang w:eastAsia="en-US"/>
        </w:rPr>
      </w:pPr>
      <w:bookmarkStart w:id="16" w:name="_Hlk215750355"/>
      <w:r w:rsidRPr="00002C6B">
        <w:rPr>
          <w:rFonts w:eastAsia="Calibri"/>
          <w:bCs/>
          <w:sz w:val="28"/>
          <w:szCs w:val="28"/>
          <w:lang w:val="vi-VN" w:eastAsia="en-US"/>
        </w:rPr>
        <w:t xml:space="preserve">a) </w:t>
      </w:r>
      <w:r w:rsidR="006664C4" w:rsidRPr="00002C6B">
        <w:rPr>
          <w:rFonts w:eastAsia="Calibri"/>
          <w:bCs/>
          <w:sz w:val="28"/>
          <w:szCs w:val="28"/>
          <w:lang w:eastAsia="en-US"/>
        </w:rPr>
        <w:t xml:space="preserve">Nhà đầu tư thu xếp 100% nguồn vốn thực hiện dự án khoảng 12.484,32 tỷ đồng. Trong đó: </w:t>
      </w:r>
    </w:p>
    <w:p w14:paraId="7CB0E2CB" w14:textId="0F360AA8"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 Chi phí thực hiện dự án khoả</w:t>
      </w:r>
      <w:r w:rsidR="00EB7390" w:rsidRPr="00002C6B">
        <w:rPr>
          <w:rFonts w:eastAsia="Calibri"/>
          <w:bCs/>
          <w:sz w:val="28"/>
          <w:szCs w:val="28"/>
          <w:lang w:eastAsia="en-US"/>
        </w:rPr>
        <w:t>ng</w:t>
      </w:r>
      <w:r w:rsidRPr="00002C6B">
        <w:rPr>
          <w:rFonts w:eastAsia="Calibri"/>
          <w:bCs/>
          <w:sz w:val="28"/>
          <w:szCs w:val="28"/>
          <w:lang w:eastAsia="en-US"/>
        </w:rPr>
        <w:t xml:space="preserve"> 11.495,84 tỷ đồng.</w:t>
      </w:r>
    </w:p>
    <w:p w14:paraId="28F98EDE" w14:textId="609240F8"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 Chi phí lãi vay trong thời gian xây dựng khoả</w:t>
      </w:r>
      <w:r w:rsidR="00EB7390" w:rsidRPr="00002C6B">
        <w:rPr>
          <w:rFonts w:eastAsia="Calibri"/>
          <w:bCs/>
          <w:sz w:val="28"/>
          <w:szCs w:val="28"/>
          <w:lang w:eastAsia="en-US"/>
        </w:rPr>
        <w:t>ng</w:t>
      </w:r>
      <w:r w:rsidRPr="00002C6B">
        <w:rPr>
          <w:rFonts w:eastAsia="Calibri"/>
          <w:bCs/>
          <w:sz w:val="28"/>
          <w:szCs w:val="28"/>
          <w:lang w:eastAsia="en-US"/>
        </w:rPr>
        <w:t xml:space="preserve"> 988,48 tỷ đồng.</w:t>
      </w:r>
    </w:p>
    <w:p w14:paraId="08EA9DB7" w14:textId="6636E17F" w:rsidR="006664C4" w:rsidRPr="00002C6B" w:rsidRDefault="009C26DF"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val="vi-VN" w:eastAsia="en-US"/>
        </w:rPr>
        <w:t xml:space="preserve">b) </w:t>
      </w:r>
      <w:r w:rsidR="006664C4" w:rsidRPr="00002C6B">
        <w:rPr>
          <w:rFonts w:eastAsia="Calibri"/>
          <w:bCs/>
          <w:sz w:val="28"/>
          <w:szCs w:val="28"/>
          <w:lang w:eastAsia="en-US"/>
        </w:rPr>
        <w:t>Lãi suất vốn vay áp dụng tạm tính 10,67%/năm.</w:t>
      </w:r>
    </w:p>
    <w:p w14:paraId="2BB11866" w14:textId="77777777" w:rsidR="006664C4" w:rsidRPr="00002C6B" w:rsidRDefault="006664C4" w:rsidP="00002C6B">
      <w:pPr>
        <w:autoSpaceDE w:val="0"/>
        <w:autoSpaceDN w:val="0"/>
        <w:adjustRightInd w:val="0"/>
        <w:spacing w:before="120"/>
        <w:ind w:firstLine="567"/>
        <w:jc w:val="both"/>
        <w:rPr>
          <w:rFonts w:eastAsia="Calibri"/>
          <w:bCs/>
          <w:sz w:val="28"/>
          <w:szCs w:val="28"/>
          <w:lang w:eastAsia="en-US"/>
        </w:rPr>
      </w:pPr>
      <w:r w:rsidRPr="00002C6B">
        <w:rPr>
          <w:rFonts w:eastAsia="Calibri"/>
          <w:bCs/>
          <w:sz w:val="28"/>
          <w:szCs w:val="28"/>
          <w:lang w:eastAsia="en-US"/>
        </w:rPr>
        <w:t>Vốn chủ sở hữu tối thiểu 15% tổng mức đầu tư dự án theo quy định tại khoản 1 Điều 77 Luật Đầu tư theo phương thức đối tác công tư.</w:t>
      </w:r>
      <w:bookmarkEnd w:id="16"/>
      <w:r w:rsidRPr="00002C6B">
        <w:rPr>
          <w:rFonts w:eastAsia="Calibri"/>
          <w:bCs/>
          <w:sz w:val="28"/>
          <w:szCs w:val="28"/>
          <w:lang w:eastAsia="en-US"/>
        </w:rPr>
        <w:t xml:space="preserve"> </w:t>
      </w:r>
    </w:p>
    <w:p w14:paraId="4401CD42" w14:textId="18D6C505" w:rsidR="006664C4" w:rsidRPr="00002C6B" w:rsidRDefault="009C26DF" w:rsidP="00002C6B">
      <w:pPr>
        <w:autoSpaceDE w:val="0"/>
        <w:autoSpaceDN w:val="0"/>
        <w:adjustRightInd w:val="0"/>
        <w:spacing w:before="120"/>
        <w:ind w:firstLine="567"/>
        <w:jc w:val="both"/>
        <w:rPr>
          <w:rFonts w:eastAsia="Calibri"/>
          <w:bCs/>
          <w:i/>
          <w:iCs/>
          <w:sz w:val="28"/>
          <w:szCs w:val="28"/>
          <w:lang w:eastAsia="en-US"/>
        </w:rPr>
      </w:pPr>
      <w:r w:rsidRPr="00002C6B">
        <w:rPr>
          <w:rFonts w:eastAsia="Calibri"/>
          <w:bCs/>
          <w:sz w:val="28"/>
          <w:szCs w:val="28"/>
          <w:lang w:val="vi-VN" w:eastAsia="en-US"/>
        </w:rPr>
        <w:t xml:space="preserve">c) </w:t>
      </w:r>
      <w:r w:rsidR="006664C4" w:rsidRPr="00002C6B">
        <w:rPr>
          <w:rFonts w:eastAsia="Calibri"/>
          <w:bCs/>
          <w:sz w:val="28"/>
          <w:szCs w:val="28"/>
          <w:lang w:eastAsia="en-US"/>
        </w:rPr>
        <w:t xml:space="preserve">Dự kiến thanh toán cho nhà đầu tư từ nguồn thu đấu giá quỹ đất công hoặc nguồn vốn đầu tư công </w:t>
      </w:r>
      <w:r w:rsidR="006664C4" w:rsidRPr="00002C6B">
        <w:rPr>
          <w:rFonts w:eastAsia="Calibri"/>
          <w:bCs/>
          <w:i/>
          <w:iCs/>
          <w:sz w:val="28"/>
          <w:szCs w:val="28"/>
          <w:lang w:eastAsia="en-US"/>
        </w:rPr>
        <w:t>(đính kèm danh mục khu đất dự kiến đấu giá thanh toán)</w:t>
      </w:r>
      <w:bookmarkStart w:id="17" w:name="bookmark1383"/>
      <w:r w:rsidR="006664C4" w:rsidRPr="00002C6B">
        <w:rPr>
          <w:rFonts w:eastAsia="Calibri"/>
          <w:bCs/>
          <w:i/>
          <w:iCs/>
          <w:sz w:val="28"/>
          <w:szCs w:val="28"/>
          <w:lang w:eastAsia="en-US"/>
        </w:rPr>
        <w:t>.</w:t>
      </w:r>
    </w:p>
    <w:p w14:paraId="142C2C67" w14:textId="77777777" w:rsidR="006664C4"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sz w:val="28"/>
          <w:szCs w:val="28"/>
          <w:lang w:eastAsia="en-US"/>
        </w:rPr>
        <w:lastRenderedPageBreak/>
        <w:t>8</w:t>
      </w:r>
      <w:bookmarkEnd w:id="17"/>
      <w:r w:rsidRPr="00002C6B">
        <w:rPr>
          <w:rFonts w:eastAsia="Calibri"/>
          <w:sz w:val="28"/>
          <w:szCs w:val="28"/>
          <w:lang w:eastAsia="en-US"/>
        </w:rPr>
        <w:t>. Cơ chế chia sẻ phần tăng, giảm doanh thu:</w:t>
      </w:r>
      <w:r w:rsidRPr="00002C6B">
        <w:rPr>
          <w:rFonts w:eastAsia="Calibri"/>
          <w:bCs/>
          <w:sz w:val="28"/>
          <w:szCs w:val="28"/>
          <w:lang w:eastAsia="en-US"/>
        </w:rPr>
        <w:t xml:space="preserve"> không áp dụng.</w:t>
      </w:r>
    </w:p>
    <w:p w14:paraId="7DB03392" w14:textId="6ED4983C" w:rsidR="006664C4" w:rsidRPr="00002C6B" w:rsidRDefault="006664C4" w:rsidP="00DF3719">
      <w:pPr>
        <w:autoSpaceDE w:val="0"/>
        <w:autoSpaceDN w:val="0"/>
        <w:adjustRightInd w:val="0"/>
        <w:spacing w:before="140"/>
        <w:ind w:firstLine="567"/>
        <w:jc w:val="both"/>
        <w:rPr>
          <w:rFonts w:eastAsia="Calibri"/>
          <w:sz w:val="28"/>
          <w:szCs w:val="28"/>
          <w:lang w:val="vi-VN" w:eastAsia="en-US"/>
        </w:rPr>
      </w:pPr>
      <w:r w:rsidRPr="00002C6B">
        <w:rPr>
          <w:rFonts w:eastAsia="Calibri"/>
          <w:sz w:val="28"/>
          <w:szCs w:val="28"/>
          <w:lang w:eastAsia="en-US"/>
        </w:rPr>
        <w:t>9. Tên cơ quan có thẩm quyề</w:t>
      </w:r>
      <w:r w:rsidR="009C26DF" w:rsidRPr="00002C6B">
        <w:rPr>
          <w:rFonts w:eastAsia="Calibri"/>
          <w:sz w:val="28"/>
          <w:szCs w:val="28"/>
          <w:lang w:eastAsia="en-US"/>
        </w:rPr>
        <w:t>n, t</w:t>
      </w:r>
      <w:r w:rsidRPr="00002C6B">
        <w:rPr>
          <w:rFonts w:eastAsia="Calibri"/>
          <w:sz w:val="28"/>
          <w:szCs w:val="28"/>
          <w:lang w:eastAsia="en-US"/>
        </w:rPr>
        <w:t>ên nhà đầu tư đề xuất dự</w:t>
      </w:r>
      <w:r w:rsidR="009C26DF" w:rsidRPr="00002C6B">
        <w:rPr>
          <w:rFonts w:eastAsia="Calibri"/>
          <w:sz w:val="28"/>
          <w:szCs w:val="28"/>
          <w:lang w:eastAsia="en-US"/>
        </w:rPr>
        <w:t xml:space="preserve"> án, t</w:t>
      </w:r>
      <w:r w:rsidRPr="00002C6B">
        <w:rPr>
          <w:rFonts w:eastAsia="Calibri"/>
          <w:sz w:val="28"/>
          <w:szCs w:val="28"/>
          <w:lang w:eastAsia="en-US"/>
        </w:rPr>
        <w:t>ên cơ quan tiếp nhận hồ sơ</w:t>
      </w:r>
      <w:r w:rsidR="004D752C" w:rsidRPr="00002C6B">
        <w:rPr>
          <w:rFonts w:eastAsia="Calibri"/>
          <w:sz w:val="28"/>
          <w:szCs w:val="28"/>
          <w:lang w:val="vi-VN" w:eastAsia="en-US"/>
        </w:rPr>
        <w:t>:</w:t>
      </w:r>
    </w:p>
    <w:p w14:paraId="6BB7652B" w14:textId="77777777" w:rsidR="006664C4"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 xml:space="preserve">a) Tên cơ quan có thẩm quyền: Ủy ban nhân dân tỉnh Đồng Nai. </w:t>
      </w:r>
    </w:p>
    <w:p w14:paraId="75B109A5" w14:textId="2E0CA456" w:rsidR="006664C4"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 xml:space="preserve">b) Tên nhà đầu tư </w:t>
      </w:r>
      <w:r w:rsidR="00DF41DA" w:rsidRPr="00002C6B">
        <w:rPr>
          <w:rFonts w:eastAsia="Calibri"/>
          <w:bCs/>
          <w:sz w:val="28"/>
          <w:szCs w:val="28"/>
          <w:lang w:eastAsia="en-US"/>
        </w:rPr>
        <w:t>đề xuất</w:t>
      </w:r>
      <w:r w:rsidRPr="00002C6B">
        <w:rPr>
          <w:rFonts w:eastAsia="Calibri"/>
          <w:bCs/>
          <w:sz w:val="28"/>
          <w:szCs w:val="28"/>
          <w:lang w:eastAsia="en-US"/>
        </w:rPr>
        <w:t xml:space="preserve"> dự án: </w:t>
      </w:r>
      <w:bookmarkStart w:id="18" w:name="_Hlk215766316"/>
      <w:r w:rsidR="00D53CE2" w:rsidRPr="00002C6B">
        <w:rPr>
          <w:rFonts w:eastAsia="Calibri"/>
          <w:bCs/>
          <w:iCs/>
          <w:sz w:val="28"/>
          <w:szCs w:val="28"/>
          <w:lang w:eastAsia="en-US"/>
        </w:rPr>
        <w:t>Liên danh Tổng Công ty Xây dựng Số 1 – CTCP – Công ty Cổ phần Đầu tư CC1 – Công ty Cổ phần Hạ tầng và Năng lượng Miền Nam (Liên danh CC1)</w:t>
      </w:r>
      <w:bookmarkEnd w:id="18"/>
      <w:r w:rsidRPr="00002C6B">
        <w:rPr>
          <w:rFonts w:eastAsia="Calibri"/>
          <w:bCs/>
          <w:sz w:val="28"/>
          <w:szCs w:val="28"/>
          <w:lang w:eastAsia="en-US"/>
        </w:rPr>
        <w:t>.</w:t>
      </w:r>
    </w:p>
    <w:p w14:paraId="23CBF5DB" w14:textId="77777777" w:rsidR="006664C4"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 xml:space="preserve">c) Tên cơ quan tiếp nhận hồ sơ: Ban Quản lý dự án đầu tư xây dựng tỉnh </w:t>
      </w:r>
      <w:r w:rsidRPr="00002C6B">
        <w:rPr>
          <w:rFonts w:eastAsia="Calibri"/>
          <w:bCs/>
          <w:i/>
          <w:iCs/>
          <w:sz w:val="28"/>
          <w:szCs w:val="28"/>
          <w:lang w:eastAsia="en-US"/>
        </w:rPr>
        <w:t>(địa chỉ: 15A Hà Huy Giáp, phường Trấn Biên, tỉnh Đồng Nai)</w:t>
      </w:r>
      <w:r w:rsidRPr="00002C6B">
        <w:rPr>
          <w:rFonts w:eastAsia="Calibri"/>
          <w:bCs/>
          <w:sz w:val="28"/>
          <w:szCs w:val="28"/>
          <w:lang w:eastAsia="en-US"/>
        </w:rPr>
        <w:t>.</w:t>
      </w:r>
    </w:p>
    <w:p w14:paraId="62A39039" w14:textId="77777777" w:rsidR="006664C4" w:rsidRPr="00002C6B" w:rsidRDefault="006664C4" w:rsidP="00DF3719">
      <w:pPr>
        <w:autoSpaceDE w:val="0"/>
        <w:autoSpaceDN w:val="0"/>
        <w:adjustRightInd w:val="0"/>
        <w:spacing w:before="140"/>
        <w:ind w:firstLine="567"/>
        <w:jc w:val="both"/>
        <w:rPr>
          <w:rFonts w:eastAsia="Calibri"/>
          <w:sz w:val="28"/>
          <w:szCs w:val="28"/>
          <w:lang w:eastAsia="en-US"/>
        </w:rPr>
      </w:pPr>
      <w:r w:rsidRPr="00002C6B">
        <w:rPr>
          <w:rFonts w:eastAsia="Calibri"/>
          <w:sz w:val="28"/>
          <w:szCs w:val="28"/>
          <w:lang w:eastAsia="en-US"/>
        </w:rPr>
        <w:t>10. Các nội dung cần thiết khác</w:t>
      </w:r>
    </w:p>
    <w:p w14:paraId="37E0C75B" w14:textId="73421D6C" w:rsidR="006664C4"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a) Hình thức lựa chọn nhà đầu tư: Thống nhất áp dụng hình thức lựa chọn nhà đầu tư trong trường hợp đặc biệt đối với dự án cầu Long Hưng (cầu Đồng Nai 2)</w:t>
      </w:r>
      <w:r w:rsidR="00512F92" w:rsidRPr="00002C6B">
        <w:rPr>
          <w:rFonts w:eastAsia="Calibri"/>
          <w:bCs/>
          <w:sz w:val="28"/>
          <w:szCs w:val="28"/>
          <w:lang w:val="vi-VN" w:eastAsia="en-US"/>
        </w:rPr>
        <w:t>,</w:t>
      </w:r>
      <w:r w:rsidRPr="00002C6B">
        <w:rPr>
          <w:rFonts w:eastAsia="Calibri"/>
          <w:bCs/>
          <w:sz w:val="28"/>
          <w:szCs w:val="28"/>
          <w:lang w:eastAsia="en-US"/>
        </w:rPr>
        <w:t xml:space="preserve"> do đây là các dự án cấp bách cần sớm triển khai thực hiện để phục vụ cho khai thác cảng hàng không quốc tế Long Thành, kết nối với Thành phố Hồ Chí Minh và phát triển kinh tế</w:t>
      </w:r>
      <w:r w:rsidR="009C26DF" w:rsidRPr="00002C6B">
        <w:rPr>
          <w:rFonts w:eastAsia="Calibri"/>
          <w:bCs/>
          <w:sz w:val="28"/>
          <w:szCs w:val="28"/>
          <w:lang w:val="vi-VN" w:eastAsia="en-US"/>
        </w:rPr>
        <w:t xml:space="preserve"> -</w:t>
      </w:r>
      <w:r w:rsidRPr="00002C6B">
        <w:rPr>
          <w:rFonts w:eastAsia="Calibri"/>
          <w:bCs/>
          <w:sz w:val="28"/>
          <w:szCs w:val="28"/>
          <w:lang w:eastAsia="en-US"/>
        </w:rPr>
        <w:t xml:space="preserve"> xã hội tỉnh Đồ</w:t>
      </w:r>
      <w:r w:rsidR="009C26DF" w:rsidRPr="00002C6B">
        <w:rPr>
          <w:rFonts w:eastAsia="Calibri"/>
          <w:bCs/>
          <w:sz w:val="28"/>
          <w:szCs w:val="28"/>
          <w:lang w:eastAsia="en-US"/>
        </w:rPr>
        <w:t>ng Nai;</w:t>
      </w:r>
    </w:p>
    <w:p w14:paraId="1FF80C8C" w14:textId="1D67DD18" w:rsidR="0049690B" w:rsidRPr="00002C6B" w:rsidRDefault="0049690B"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b) Nhà đầu tư được lựa chọn trong trường hợp đặc biệt phải áp dụng điều kiện giảm tối thiểu 5% giá trị hợp đồng BT (không bao gồm chi phí dự phòng và chi phí bồi thường, giải phóng mặt bằng) của dự án cầu Long Hưng (cầu Đồng Nai 2) để đảm bảo hiệu quả kinh tế trong đầu tư dự</w:t>
      </w:r>
      <w:r w:rsidR="009C26DF" w:rsidRPr="00002C6B">
        <w:rPr>
          <w:rFonts w:eastAsia="Calibri"/>
          <w:bCs/>
          <w:sz w:val="28"/>
          <w:szCs w:val="28"/>
          <w:lang w:eastAsia="en-US"/>
        </w:rPr>
        <w:t xml:space="preserve"> án;</w:t>
      </w:r>
    </w:p>
    <w:p w14:paraId="2A0B7D5B" w14:textId="5241F6F2" w:rsidR="006664C4"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 xml:space="preserve">c) Thời gian nộp hồ sơ báo cáo nghiên cứu khả thi: </w:t>
      </w:r>
      <w:r w:rsidR="00126692" w:rsidRPr="00002C6B">
        <w:rPr>
          <w:rFonts w:eastAsia="Calibri"/>
          <w:bCs/>
          <w:sz w:val="28"/>
          <w:szCs w:val="28"/>
          <w:lang w:eastAsia="en-US"/>
        </w:rPr>
        <w:t>tối đa 03</w:t>
      </w:r>
      <w:r w:rsidRPr="00002C6B">
        <w:rPr>
          <w:rFonts w:eastAsia="Calibri"/>
          <w:bCs/>
          <w:sz w:val="28"/>
          <w:szCs w:val="28"/>
          <w:lang w:eastAsia="en-US"/>
        </w:rPr>
        <w:t xml:space="preserve"> tháng kể từ khi được cấp có thẩm quyền quyết định chủ trương đầ</w:t>
      </w:r>
      <w:r w:rsidR="009C26DF" w:rsidRPr="00002C6B">
        <w:rPr>
          <w:rFonts w:eastAsia="Calibri"/>
          <w:bCs/>
          <w:sz w:val="28"/>
          <w:szCs w:val="28"/>
          <w:lang w:eastAsia="en-US"/>
        </w:rPr>
        <w:t>u tư;</w:t>
      </w:r>
    </w:p>
    <w:p w14:paraId="159B10F8" w14:textId="286E73B1" w:rsidR="00A0038E" w:rsidRPr="00002C6B" w:rsidRDefault="006664C4" w:rsidP="00DF3719">
      <w:pPr>
        <w:autoSpaceDE w:val="0"/>
        <w:autoSpaceDN w:val="0"/>
        <w:adjustRightInd w:val="0"/>
        <w:spacing w:before="140"/>
        <w:ind w:firstLine="567"/>
        <w:jc w:val="both"/>
        <w:rPr>
          <w:rFonts w:eastAsia="Calibri"/>
          <w:bCs/>
          <w:sz w:val="28"/>
          <w:szCs w:val="28"/>
          <w:lang w:eastAsia="en-US"/>
        </w:rPr>
      </w:pPr>
      <w:r w:rsidRPr="00002C6B">
        <w:rPr>
          <w:rFonts w:eastAsia="Calibri"/>
          <w:bCs/>
          <w:sz w:val="28"/>
          <w:szCs w:val="28"/>
          <w:lang w:eastAsia="en-US"/>
        </w:rPr>
        <w:t>d) Tổ chức thi tuyển phương án kiến trúc cầu Long Hưng theo quy định của pháp luật về kiến trúc và PPP.</w:t>
      </w:r>
    </w:p>
    <w:p w14:paraId="4067014D" w14:textId="77777777" w:rsidR="00CC282D" w:rsidRPr="00002C6B" w:rsidRDefault="00CC282D" w:rsidP="00DF3719">
      <w:pPr>
        <w:pStyle w:val="Vnbnnidung0"/>
        <w:widowControl/>
        <w:adjustRightInd w:val="0"/>
        <w:snapToGrid w:val="0"/>
        <w:spacing w:before="140" w:after="0" w:line="240" w:lineRule="auto"/>
        <w:ind w:firstLine="567"/>
        <w:jc w:val="both"/>
        <w:rPr>
          <w:rFonts w:ascii="Times New Roman" w:hAnsi="Times New Roman"/>
          <w:sz w:val="28"/>
          <w:szCs w:val="28"/>
        </w:rPr>
      </w:pPr>
      <w:r w:rsidRPr="00002C6B">
        <w:rPr>
          <w:rFonts w:ascii="Times New Roman" w:hAnsi="Times New Roman"/>
          <w:b/>
          <w:bCs/>
          <w:sz w:val="28"/>
          <w:szCs w:val="28"/>
        </w:rPr>
        <w:t>Điều 2. Tổ chức thực hiện</w:t>
      </w:r>
    </w:p>
    <w:p w14:paraId="4AA9C190" w14:textId="34541846" w:rsidR="00B8068A" w:rsidRPr="00002C6B" w:rsidRDefault="00B8068A" w:rsidP="00DF3719">
      <w:pPr>
        <w:pStyle w:val="Vnbnnidung0"/>
        <w:widowControl/>
        <w:tabs>
          <w:tab w:val="left" w:pos="992"/>
        </w:tabs>
        <w:adjustRightInd w:val="0"/>
        <w:snapToGrid w:val="0"/>
        <w:spacing w:before="140" w:after="0" w:line="240" w:lineRule="auto"/>
        <w:ind w:firstLine="567"/>
        <w:jc w:val="both"/>
        <w:rPr>
          <w:rFonts w:ascii="Times New Roman" w:hAnsi="Times New Roman"/>
          <w:sz w:val="28"/>
          <w:szCs w:val="28"/>
        </w:rPr>
      </w:pPr>
      <w:r w:rsidRPr="00002C6B">
        <w:rPr>
          <w:rFonts w:ascii="Times New Roman" w:hAnsi="Times New Roman"/>
          <w:sz w:val="28"/>
          <w:szCs w:val="28"/>
        </w:rPr>
        <w:t>1. Ủy ban nhân dân tỉnh có trách nhiệm triển khai và báo cáo kết quả thực hiện theo quy định</w:t>
      </w:r>
      <w:r w:rsidR="009C26DF" w:rsidRPr="00002C6B">
        <w:rPr>
          <w:rFonts w:ascii="Times New Roman" w:hAnsi="Times New Roman"/>
          <w:sz w:val="28"/>
          <w:szCs w:val="28"/>
          <w:lang w:val="vi-VN"/>
        </w:rPr>
        <w:t>;</w:t>
      </w:r>
      <w:r w:rsidR="00A500D4" w:rsidRPr="00002C6B">
        <w:rPr>
          <w:rFonts w:ascii="Times New Roman" w:hAnsi="Times New Roman"/>
          <w:sz w:val="28"/>
          <w:szCs w:val="28"/>
        </w:rPr>
        <w:t xml:space="preserve"> </w:t>
      </w:r>
      <w:r w:rsidR="009C26DF" w:rsidRPr="00002C6B">
        <w:rPr>
          <w:rFonts w:ascii="Times New Roman" w:hAnsi="Times New Roman"/>
          <w:sz w:val="28"/>
          <w:szCs w:val="28"/>
          <w:lang w:val="vi-VN"/>
        </w:rPr>
        <w:t>đồng thời,</w:t>
      </w:r>
      <w:r w:rsidR="009C26DF" w:rsidRPr="00002C6B">
        <w:rPr>
          <w:rFonts w:ascii="Times New Roman" w:hAnsi="Times New Roman"/>
          <w:sz w:val="28"/>
          <w:szCs w:val="28"/>
        </w:rPr>
        <w:t xml:space="preserve"> </w:t>
      </w:r>
      <w:r w:rsidR="00A500D4" w:rsidRPr="00002C6B">
        <w:rPr>
          <w:rFonts w:ascii="Times New Roman" w:hAnsi="Times New Roman"/>
          <w:sz w:val="28"/>
          <w:szCs w:val="28"/>
        </w:rPr>
        <w:t>giao các cơ quan chuyên môn thực hiện các nội dung sau:</w:t>
      </w:r>
    </w:p>
    <w:p w14:paraId="146B5A5F" w14:textId="5444B98F" w:rsidR="00A500D4" w:rsidRPr="00002C6B" w:rsidRDefault="004A1290" w:rsidP="00DF3719">
      <w:pPr>
        <w:pStyle w:val="Vnbnnidung0"/>
        <w:widowControl/>
        <w:tabs>
          <w:tab w:val="left" w:pos="992"/>
        </w:tabs>
        <w:adjustRightInd w:val="0"/>
        <w:snapToGrid w:val="0"/>
        <w:spacing w:before="140" w:after="0" w:line="240" w:lineRule="auto"/>
        <w:ind w:firstLine="567"/>
        <w:jc w:val="both"/>
        <w:rPr>
          <w:rFonts w:ascii="Times New Roman" w:hAnsi="Times New Roman"/>
          <w:sz w:val="28"/>
          <w:szCs w:val="28"/>
        </w:rPr>
      </w:pPr>
      <w:r w:rsidRPr="00002C6B">
        <w:rPr>
          <w:rFonts w:ascii="Times New Roman" w:hAnsi="Times New Roman"/>
          <w:sz w:val="28"/>
          <w:szCs w:val="28"/>
        </w:rPr>
        <w:t>a)</w:t>
      </w:r>
      <w:r w:rsidR="00A500D4" w:rsidRPr="00002C6B">
        <w:rPr>
          <w:rFonts w:ascii="Times New Roman" w:hAnsi="Times New Roman"/>
          <w:sz w:val="28"/>
          <w:szCs w:val="28"/>
        </w:rPr>
        <w:t xml:space="preserve"> </w:t>
      </w:r>
      <w:r w:rsidR="002B226A" w:rsidRPr="00002C6B">
        <w:rPr>
          <w:rFonts w:ascii="Times New Roman" w:hAnsi="Times New Roman"/>
          <w:sz w:val="28"/>
          <w:szCs w:val="28"/>
        </w:rPr>
        <w:t>Triển khai thực hiện bước lập hồ sơ Báo cáo nghiên cứu khả thi, lựa chọn nhà đầu tư theo quy định của pháp luật về PPP, xây dựng, đất đai và các quy định khác có liên quan</w:t>
      </w:r>
      <w:r w:rsidR="008A46C2" w:rsidRPr="00002C6B">
        <w:rPr>
          <w:rFonts w:ascii="Times New Roman" w:hAnsi="Times New Roman"/>
          <w:sz w:val="28"/>
          <w:szCs w:val="28"/>
        </w:rPr>
        <w:t>.</w:t>
      </w:r>
    </w:p>
    <w:p w14:paraId="08AACFE1" w14:textId="77777777" w:rsidR="00A0038E" w:rsidRPr="00002C6B" w:rsidRDefault="004A1290" w:rsidP="00DF3719">
      <w:pPr>
        <w:pStyle w:val="Vnbnnidung0"/>
        <w:widowControl/>
        <w:tabs>
          <w:tab w:val="left" w:pos="992"/>
        </w:tabs>
        <w:adjustRightInd w:val="0"/>
        <w:snapToGrid w:val="0"/>
        <w:spacing w:before="140" w:after="0" w:line="240" w:lineRule="auto"/>
        <w:ind w:firstLine="567"/>
        <w:jc w:val="both"/>
        <w:rPr>
          <w:rFonts w:ascii="Times New Roman" w:hAnsi="Times New Roman"/>
          <w:sz w:val="28"/>
          <w:szCs w:val="28"/>
        </w:rPr>
      </w:pPr>
      <w:r w:rsidRPr="00002C6B">
        <w:rPr>
          <w:rFonts w:ascii="Times New Roman" w:hAnsi="Times New Roman"/>
          <w:sz w:val="28"/>
          <w:szCs w:val="28"/>
        </w:rPr>
        <w:t>b)</w:t>
      </w:r>
      <w:r w:rsidR="00A500D4" w:rsidRPr="00002C6B">
        <w:rPr>
          <w:rFonts w:ascii="Times New Roman" w:hAnsi="Times New Roman"/>
          <w:sz w:val="28"/>
          <w:szCs w:val="28"/>
        </w:rPr>
        <w:t xml:space="preserve"> </w:t>
      </w:r>
      <w:r w:rsidR="001A6B57" w:rsidRPr="00002C6B">
        <w:rPr>
          <w:rFonts w:ascii="Times New Roman" w:hAnsi="Times New Roman"/>
          <w:sz w:val="28"/>
          <w:szCs w:val="28"/>
        </w:rPr>
        <w:t xml:space="preserve">Đẩy nhanh tiến độ thực hiện các thủ tục đấu giá </w:t>
      </w:r>
      <w:r w:rsidR="001A6B57" w:rsidRPr="00002C6B">
        <w:rPr>
          <w:rFonts w:ascii="Times New Roman" w:hAnsi="Times New Roman"/>
          <w:spacing w:val="3"/>
          <w:sz w:val="28"/>
          <w:szCs w:val="28"/>
        </w:rPr>
        <w:t>quyền sử dụng đất từ quỹ đất do nhà nước quản lý</w:t>
      </w:r>
      <w:r w:rsidR="001A6B57" w:rsidRPr="00002C6B">
        <w:rPr>
          <w:rFonts w:ascii="Times New Roman" w:hAnsi="Times New Roman"/>
          <w:spacing w:val="3"/>
          <w:sz w:val="28"/>
          <w:szCs w:val="28"/>
          <w:lang w:val="vi-VN"/>
        </w:rPr>
        <w:t xml:space="preserve"> </w:t>
      </w:r>
      <w:r w:rsidR="001A6B57" w:rsidRPr="00002C6B">
        <w:rPr>
          <w:rFonts w:ascii="Times New Roman" w:hAnsi="Times New Roman"/>
          <w:sz w:val="28"/>
          <w:szCs w:val="28"/>
        </w:rPr>
        <w:t>dự kiến thanh toán cho nhà đầu tư để thanh toán theo tiến độ hợp đồng.</w:t>
      </w:r>
    </w:p>
    <w:p w14:paraId="6D737BF0" w14:textId="36417824" w:rsidR="00B8068A" w:rsidRPr="00002C6B" w:rsidRDefault="001A6B57" w:rsidP="00DF3719">
      <w:pPr>
        <w:pStyle w:val="Vnbnnidung0"/>
        <w:widowControl/>
        <w:tabs>
          <w:tab w:val="left" w:pos="992"/>
        </w:tabs>
        <w:adjustRightInd w:val="0"/>
        <w:snapToGrid w:val="0"/>
        <w:spacing w:before="140" w:after="0" w:line="240" w:lineRule="auto"/>
        <w:ind w:firstLine="567"/>
        <w:jc w:val="both"/>
        <w:rPr>
          <w:rFonts w:ascii="Times New Roman" w:hAnsi="Times New Roman"/>
          <w:sz w:val="28"/>
          <w:szCs w:val="28"/>
        </w:rPr>
      </w:pPr>
      <w:r w:rsidRPr="00002C6B">
        <w:rPr>
          <w:rFonts w:ascii="Times New Roman" w:hAnsi="Times New Roman"/>
          <w:sz w:val="28"/>
          <w:szCs w:val="28"/>
          <w:lang w:val="vi-VN"/>
        </w:rPr>
        <w:t xml:space="preserve"> </w:t>
      </w:r>
      <w:r w:rsidR="00B8068A" w:rsidRPr="00002C6B">
        <w:rPr>
          <w:rFonts w:ascii="Times New Roman" w:hAnsi="Times New Roman"/>
          <w:sz w:val="28"/>
          <w:szCs w:val="28"/>
        </w:rPr>
        <w:t xml:space="preserve">2. </w:t>
      </w:r>
      <w:r w:rsidR="00222AED" w:rsidRPr="00002C6B">
        <w:rPr>
          <w:rFonts w:ascii="Times New Roman" w:hAnsi="Times New Roman"/>
          <w:sz w:val="28"/>
          <w:szCs w:val="28"/>
          <w:lang w:val="es-AR"/>
        </w:rPr>
        <w:t>Thường trực Hội đồng nhân dân tỉnh, các Ban của Hội đồng nhân dân tỉnh, các Tổ đại biểu Hội đồng nhân dân tỉnh và các đại biểu Hội đồng nhân dân tỉnh giám sát việc thực hiện Nghị quyết.</w:t>
      </w:r>
    </w:p>
    <w:p w14:paraId="0266A319" w14:textId="365C5B51" w:rsidR="00B8068A" w:rsidRPr="00002C6B" w:rsidRDefault="00B8068A" w:rsidP="00DF3719">
      <w:pPr>
        <w:pStyle w:val="Vnbnnidung0"/>
        <w:widowControl/>
        <w:tabs>
          <w:tab w:val="left" w:pos="992"/>
        </w:tabs>
        <w:adjustRightInd w:val="0"/>
        <w:snapToGrid w:val="0"/>
        <w:spacing w:before="140" w:after="0" w:line="240" w:lineRule="auto"/>
        <w:ind w:firstLine="567"/>
        <w:jc w:val="both"/>
        <w:rPr>
          <w:rFonts w:ascii="Times New Roman" w:hAnsi="Times New Roman"/>
          <w:sz w:val="28"/>
          <w:szCs w:val="28"/>
        </w:rPr>
      </w:pPr>
      <w:r w:rsidRPr="00002C6B">
        <w:rPr>
          <w:rFonts w:ascii="Times New Roman" w:hAnsi="Times New Roman"/>
          <w:sz w:val="28"/>
          <w:szCs w:val="28"/>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25C9B213" w14:textId="6AE443B3" w:rsidR="001A48A9" w:rsidRDefault="00222AED" w:rsidP="00002C6B">
      <w:pPr>
        <w:spacing w:before="120"/>
        <w:ind w:firstLine="567"/>
        <w:jc w:val="both"/>
        <w:rPr>
          <w:spacing w:val="-4"/>
          <w:sz w:val="28"/>
          <w:szCs w:val="28"/>
          <w:lang w:val="es-AR"/>
        </w:rPr>
      </w:pPr>
      <w:r w:rsidRPr="00002C6B">
        <w:rPr>
          <w:spacing w:val="-4"/>
          <w:sz w:val="28"/>
          <w:szCs w:val="28"/>
          <w:lang w:val="af-ZA"/>
        </w:rPr>
        <w:lastRenderedPageBreak/>
        <w:t xml:space="preserve">Nghị quyết này đã được Hội đồng nhân dân tỉnh Đồng Nai </w:t>
      </w:r>
      <w:r w:rsidR="00512F92" w:rsidRPr="00002C6B">
        <w:rPr>
          <w:spacing w:val="-4"/>
          <w:sz w:val="28"/>
          <w:szCs w:val="28"/>
          <w:lang w:val="vi-VN"/>
        </w:rPr>
        <w:t>khóa</w:t>
      </w:r>
      <w:r w:rsidRPr="00002C6B">
        <w:rPr>
          <w:spacing w:val="-4"/>
          <w:sz w:val="28"/>
          <w:szCs w:val="28"/>
          <w:lang w:val="af-ZA"/>
        </w:rPr>
        <w:t xml:space="preserve"> X, Kỳ họp thứ 8 thông qua </w:t>
      </w:r>
      <w:r w:rsidRPr="00002C6B">
        <w:rPr>
          <w:spacing w:val="-4"/>
          <w:sz w:val="28"/>
          <w:szCs w:val="28"/>
          <w:lang w:val="es-AR"/>
        </w:rPr>
        <w:t>ngày 10 tháng 12 năm 2025 và có hiệu lực kể từ ngày thông qua./.</w:t>
      </w:r>
    </w:p>
    <w:p w14:paraId="44EEAF0E" w14:textId="77777777" w:rsidR="00123D5F" w:rsidRPr="00002C6B" w:rsidRDefault="00123D5F" w:rsidP="00123D5F">
      <w:pPr>
        <w:ind w:firstLine="567"/>
        <w:jc w:val="both"/>
        <w:rPr>
          <w:spacing w:val="-4"/>
          <w:sz w:val="28"/>
          <w:szCs w:val="28"/>
          <w:lang w:val="es-AR"/>
        </w:rPr>
      </w:pPr>
    </w:p>
    <w:tbl>
      <w:tblPr>
        <w:tblW w:w="9639" w:type="dxa"/>
        <w:tblInd w:w="108" w:type="dxa"/>
        <w:tblLook w:val="01E0" w:firstRow="1" w:lastRow="1" w:firstColumn="1" w:lastColumn="1" w:noHBand="0" w:noVBand="0"/>
      </w:tblPr>
      <w:tblGrid>
        <w:gridCol w:w="4678"/>
        <w:gridCol w:w="4961"/>
      </w:tblGrid>
      <w:tr w:rsidR="00F5595F" w:rsidRPr="00F5595F" w14:paraId="1F9C4F7E" w14:textId="77777777" w:rsidTr="00F5595F">
        <w:tc>
          <w:tcPr>
            <w:tcW w:w="4678" w:type="dxa"/>
          </w:tcPr>
          <w:p w14:paraId="064FEB4F" w14:textId="77777777" w:rsidR="00F5595F" w:rsidRPr="00F5595F" w:rsidRDefault="00F5595F" w:rsidP="00F5595F">
            <w:pPr>
              <w:tabs>
                <w:tab w:val="left" w:pos="567"/>
              </w:tabs>
              <w:rPr>
                <w:b/>
                <w:bCs/>
                <w:sz w:val="28"/>
                <w:szCs w:val="28"/>
                <w:lang w:eastAsia="zh-CN"/>
              </w:rPr>
            </w:pPr>
            <w:bookmarkStart w:id="19" w:name="_GoBack"/>
            <w:bookmarkEnd w:id="19"/>
          </w:p>
        </w:tc>
        <w:tc>
          <w:tcPr>
            <w:tcW w:w="4961" w:type="dxa"/>
          </w:tcPr>
          <w:p w14:paraId="4302F444" w14:textId="77777777" w:rsidR="00F5595F" w:rsidRPr="00F5595F" w:rsidRDefault="00F5595F" w:rsidP="00F5595F">
            <w:pPr>
              <w:tabs>
                <w:tab w:val="left" w:pos="567"/>
              </w:tabs>
              <w:jc w:val="center"/>
              <w:rPr>
                <w:b/>
                <w:bCs/>
                <w:sz w:val="28"/>
                <w:szCs w:val="28"/>
                <w:lang w:val="vi-VN" w:eastAsia="zh-CN"/>
              </w:rPr>
            </w:pPr>
            <w:r w:rsidRPr="00F5595F">
              <w:rPr>
                <w:b/>
                <w:bCs/>
                <w:sz w:val="28"/>
                <w:szCs w:val="28"/>
                <w:lang w:val="vi-VN" w:eastAsia="zh-CN"/>
              </w:rPr>
              <w:t>CHỦ TỊCH</w:t>
            </w:r>
          </w:p>
          <w:p w14:paraId="6361A1E1" w14:textId="77777777" w:rsidR="00F5595F" w:rsidRPr="00F5595F" w:rsidRDefault="00F5595F" w:rsidP="00F5595F">
            <w:pPr>
              <w:tabs>
                <w:tab w:val="left" w:pos="567"/>
              </w:tabs>
              <w:jc w:val="center"/>
              <w:rPr>
                <w:b/>
                <w:bCs/>
                <w:sz w:val="28"/>
                <w:szCs w:val="28"/>
                <w:lang w:val="vi-VN" w:eastAsia="zh-CN"/>
              </w:rPr>
            </w:pPr>
          </w:p>
          <w:p w14:paraId="338C1206" w14:textId="77777777" w:rsidR="00F5595F" w:rsidRPr="00F5595F" w:rsidRDefault="00F5595F" w:rsidP="00F5595F">
            <w:pPr>
              <w:tabs>
                <w:tab w:val="left" w:pos="567"/>
              </w:tabs>
              <w:jc w:val="center"/>
              <w:rPr>
                <w:b/>
                <w:bCs/>
                <w:sz w:val="28"/>
                <w:szCs w:val="28"/>
                <w:lang w:eastAsia="zh-CN"/>
              </w:rPr>
            </w:pPr>
            <w:r w:rsidRPr="00F5595F">
              <w:rPr>
                <w:b/>
                <w:bCs/>
                <w:sz w:val="28"/>
                <w:szCs w:val="28"/>
                <w:lang w:val="vi-VN" w:eastAsia="zh-CN"/>
              </w:rPr>
              <w:t>Tôn Ngọc Hạnh</w:t>
            </w:r>
          </w:p>
        </w:tc>
      </w:tr>
    </w:tbl>
    <w:p w14:paraId="0FDBD383" w14:textId="77777777" w:rsidR="00A251B4" w:rsidRPr="00002C6B" w:rsidRDefault="00A251B4" w:rsidP="00002C6B">
      <w:pPr>
        <w:spacing w:after="160"/>
        <w:rPr>
          <w:b/>
          <w:bCs/>
          <w:sz w:val="28"/>
          <w:szCs w:val="28"/>
          <w:lang w:val="vi-VN" w:eastAsia="en-US"/>
        </w:rPr>
        <w:sectPr w:rsidR="00A251B4" w:rsidRPr="00002C6B" w:rsidSect="00002C6B">
          <w:headerReference w:type="default" r:id="rId7"/>
          <w:pgSz w:w="11907" w:h="16840" w:code="9"/>
          <w:pgMar w:top="1134" w:right="1134" w:bottom="851" w:left="1134" w:header="567" w:footer="567" w:gutter="0"/>
          <w:cols w:space="720"/>
          <w:docGrid w:linePitch="360"/>
        </w:sectPr>
      </w:pPr>
    </w:p>
    <w:p w14:paraId="1F027D24" w14:textId="67E9BCB1" w:rsidR="00B3786A" w:rsidRPr="00002C6B" w:rsidRDefault="00B3786A" w:rsidP="00AE261D">
      <w:pPr>
        <w:jc w:val="center"/>
        <w:rPr>
          <w:rFonts w:eastAsia="Calibri"/>
          <w:b/>
          <w:bCs/>
          <w:sz w:val="28"/>
          <w:szCs w:val="28"/>
          <w:lang w:val="en-GB" w:eastAsia="en-US"/>
        </w:rPr>
      </w:pPr>
      <w:r w:rsidRPr="00002C6B">
        <w:rPr>
          <w:rFonts w:eastAsia="Calibri"/>
          <w:b/>
          <w:bCs/>
          <w:sz w:val="28"/>
          <w:szCs w:val="28"/>
          <w:lang w:val="en-GB" w:eastAsia="en-US"/>
        </w:rPr>
        <w:lastRenderedPageBreak/>
        <w:t>DANH MỤC 16 KHU ĐẤT DỰ KIẾN ĐẤU GIÁ TRÊN ĐỊA BÀN TỈNH</w:t>
      </w:r>
    </w:p>
    <w:p w14:paraId="6F55B821" w14:textId="37B1C5BA" w:rsidR="00A251B4" w:rsidRPr="00002C6B" w:rsidRDefault="00A251B4" w:rsidP="00AE261D">
      <w:pPr>
        <w:pStyle w:val="Default"/>
        <w:jc w:val="center"/>
        <w:rPr>
          <w:i/>
          <w:color w:val="auto"/>
          <w:sz w:val="28"/>
          <w:szCs w:val="28"/>
        </w:rPr>
      </w:pPr>
      <w:r w:rsidRPr="00002C6B">
        <w:rPr>
          <w:i/>
          <w:color w:val="auto"/>
          <w:sz w:val="28"/>
          <w:szCs w:val="28"/>
        </w:rPr>
        <w:t>(Kèm theo Nghị quyết số</w:t>
      </w:r>
      <w:r w:rsidR="00CA7EA4" w:rsidRPr="00002C6B">
        <w:rPr>
          <w:i/>
          <w:color w:val="auto"/>
          <w:sz w:val="28"/>
          <w:szCs w:val="28"/>
        </w:rPr>
        <w:t xml:space="preserve"> 55</w:t>
      </w:r>
      <w:r w:rsidRPr="00002C6B">
        <w:rPr>
          <w:i/>
          <w:color w:val="auto"/>
          <w:sz w:val="28"/>
          <w:szCs w:val="28"/>
        </w:rPr>
        <w:t>/NQ-HĐND ngày</w:t>
      </w:r>
      <w:r w:rsidR="00CA7EA4" w:rsidRPr="00002C6B">
        <w:rPr>
          <w:i/>
          <w:color w:val="auto"/>
          <w:sz w:val="28"/>
          <w:szCs w:val="28"/>
        </w:rPr>
        <w:t xml:space="preserve"> 10</w:t>
      </w:r>
      <w:r w:rsidRPr="00002C6B">
        <w:rPr>
          <w:i/>
          <w:color w:val="auto"/>
          <w:sz w:val="28"/>
          <w:szCs w:val="28"/>
        </w:rPr>
        <w:t xml:space="preserve"> tháng </w:t>
      </w:r>
      <w:r w:rsidR="00CA7EA4" w:rsidRPr="00002C6B">
        <w:rPr>
          <w:i/>
          <w:color w:val="auto"/>
          <w:sz w:val="28"/>
          <w:szCs w:val="28"/>
        </w:rPr>
        <w:t>12</w:t>
      </w:r>
      <w:r w:rsidRPr="00002C6B">
        <w:rPr>
          <w:i/>
          <w:color w:val="auto"/>
          <w:sz w:val="28"/>
          <w:szCs w:val="28"/>
        </w:rPr>
        <w:t xml:space="preserve"> năm 2025 của Hội đồng nhân dân tỉnh Đồng Nai)</w:t>
      </w:r>
    </w:p>
    <w:p w14:paraId="48E3055F" w14:textId="6BFEF024" w:rsidR="00A251B4" w:rsidRPr="00002C6B" w:rsidRDefault="00B3786A" w:rsidP="00002C6B">
      <w:pPr>
        <w:pStyle w:val="Default"/>
        <w:tabs>
          <w:tab w:val="left" w:pos="4800"/>
        </w:tabs>
        <w:spacing w:before="60" w:after="60"/>
        <w:ind w:firstLine="709"/>
        <w:jc w:val="both"/>
        <w:rPr>
          <w:noProof/>
          <w:color w:val="auto"/>
          <w:sz w:val="28"/>
          <w:szCs w:val="28"/>
        </w:rPr>
      </w:pPr>
      <w:r w:rsidRPr="00002C6B">
        <w:rPr>
          <w:b/>
          <w:bCs/>
          <w:noProof/>
          <w:color w:val="auto"/>
          <w:sz w:val="28"/>
          <w:szCs w:val="28"/>
        </w:rPr>
        <w:tab/>
      </w:r>
      <w:r w:rsidR="00D638C2" w:rsidRPr="00002C6B">
        <w:rPr>
          <w:noProof/>
          <w:color w:val="auto"/>
          <w:sz w:val="28"/>
          <w:szCs w:val="28"/>
        </w:rPr>
        <w:tab/>
      </w:r>
      <w:bookmarkStart w:id="20" w:name="_Hlk208851011"/>
    </w:p>
    <w:tbl>
      <w:tblPr>
        <w:tblW w:w="14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04"/>
        <w:gridCol w:w="947"/>
        <w:gridCol w:w="829"/>
        <w:gridCol w:w="840"/>
        <w:gridCol w:w="1030"/>
        <w:gridCol w:w="900"/>
        <w:gridCol w:w="1878"/>
        <w:gridCol w:w="1086"/>
        <w:gridCol w:w="1316"/>
        <w:gridCol w:w="2190"/>
        <w:gridCol w:w="684"/>
      </w:tblGrid>
      <w:tr w:rsidR="00002C6B" w:rsidRPr="00AE261D" w14:paraId="40F0AB03" w14:textId="77777777" w:rsidTr="00DF3719">
        <w:trPr>
          <w:trHeight w:val="464"/>
          <w:tblHeader/>
        </w:trPr>
        <w:tc>
          <w:tcPr>
            <w:tcW w:w="632" w:type="dxa"/>
            <w:vMerge w:val="restart"/>
            <w:shd w:val="clear" w:color="auto" w:fill="auto"/>
            <w:vAlign w:val="center"/>
            <w:hideMark/>
          </w:tcPr>
          <w:bookmarkEnd w:id="20"/>
          <w:p w14:paraId="4C482899" w14:textId="1BE2C4C4" w:rsidR="000C35B1" w:rsidRPr="00AE261D" w:rsidRDefault="00DF3719" w:rsidP="00C20CC4">
            <w:pPr>
              <w:spacing w:before="60" w:after="60"/>
              <w:jc w:val="center"/>
              <w:rPr>
                <w:b/>
                <w:bCs/>
                <w:sz w:val="22"/>
                <w:szCs w:val="22"/>
              </w:rPr>
            </w:pPr>
            <w:r>
              <w:rPr>
                <w:b/>
                <w:bCs/>
                <w:sz w:val="22"/>
                <w:szCs w:val="22"/>
              </w:rPr>
              <w:t>STT</w:t>
            </w:r>
          </w:p>
        </w:tc>
        <w:tc>
          <w:tcPr>
            <w:tcW w:w="2504" w:type="dxa"/>
            <w:vMerge w:val="restart"/>
            <w:shd w:val="clear" w:color="auto" w:fill="auto"/>
            <w:vAlign w:val="center"/>
            <w:hideMark/>
          </w:tcPr>
          <w:p w14:paraId="074A4503" w14:textId="77777777" w:rsidR="000C35B1" w:rsidRPr="00AE261D" w:rsidRDefault="000C35B1" w:rsidP="00C20CC4">
            <w:pPr>
              <w:spacing w:before="60" w:after="60"/>
              <w:jc w:val="center"/>
              <w:rPr>
                <w:b/>
                <w:bCs/>
                <w:sz w:val="22"/>
                <w:szCs w:val="22"/>
              </w:rPr>
            </w:pPr>
            <w:r w:rsidRPr="00AE261D">
              <w:rPr>
                <w:b/>
                <w:bCs/>
                <w:sz w:val="22"/>
                <w:szCs w:val="22"/>
              </w:rPr>
              <w:t>Tên khu đất</w:t>
            </w:r>
          </w:p>
        </w:tc>
        <w:tc>
          <w:tcPr>
            <w:tcW w:w="947" w:type="dxa"/>
            <w:vMerge w:val="restart"/>
            <w:shd w:val="clear" w:color="auto" w:fill="auto"/>
            <w:vAlign w:val="center"/>
            <w:hideMark/>
          </w:tcPr>
          <w:p w14:paraId="474625E2" w14:textId="77777777" w:rsidR="000C35B1" w:rsidRPr="00AE261D" w:rsidRDefault="000C35B1" w:rsidP="00C20CC4">
            <w:pPr>
              <w:spacing w:before="60" w:after="60"/>
              <w:jc w:val="center"/>
              <w:rPr>
                <w:b/>
                <w:bCs/>
                <w:sz w:val="22"/>
                <w:szCs w:val="22"/>
              </w:rPr>
            </w:pPr>
            <w:r w:rsidRPr="00AE261D">
              <w:rPr>
                <w:b/>
                <w:bCs/>
                <w:sz w:val="22"/>
                <w:szCs w:val="22"/>
              </w:rPr>
              <w:t>Xã, phường</w:t>
            </w:r>
          </w:p>
        </w:tc>
        <w:tc>
          <w:tcPr>
            <w:tcW w:w="829" w:type="dxa"/>
            <w:vMerge w:val="restart"/>
            <w:shd w:val="clear" w:color="auto" w:fill="auto"/>
            <w:vAlign w:val="center"/>
            <w:hideMark/>
          </w:tcPr>
          <w:p w14:paraId="692825DE" w14:textId="77777777" w:rsidR="000C35B1" w:rsidRPr="00AE261D" w:rsidRDefault="000C35B1" w:rsidP="00C20CC4">
            <w:pPr>
              <w:spacing w:before="60" w:after="60"/>
              <w:jc w:val="center"/>
              <w:rPr>
                <w:b/>
                <w:bCs/>
                <w:sz w:val="22"/>
                <w:szCs w:val="22"/>
              </w:rPr>
            </w:pPr>
            <w:r w:rsidRPr="00AE261D">
              <w:rPr>
                <w:b/>
                <w:bCs/>
                <w:sz w:val="22"/>
                <w:szCs w:val="22"/>
              </w:rPr>
              <w:t>Số</w:t>
            </w:r>
            <w:r w:rsidRPr="00AE261D">
              <w:rPr>
                <w:b/>
                <w:bCs/>
                <w:sz w:val="22"/>
                <w:szCs w:val="22"/>
              </w:rPr>
              <w:br/>
              <w:t xml:space="preserve"> thửa</w:t>
            </w:r>
          </w:p>
        </w:tc>
        <w:tc>
          <w:tcPr>
            <w:tcW w:w="840" w:type="dxa"/>
            <w:vMerge w:val="restart"/>
            <w:shd w:val="clear" w:color="auto" w:fill="auto"/>
            <w:vAlign w:val="center"/>
            <w:hideMark/>
          </w:tcPr>
          <w:p w14:paraId="44419C86" w14:textId="77777777" w:rsidR="000C35B1" w:rsidRPr="00AE261D" w:rsidRDefault="000C35B1" w:rsidP="00C20CC4">
            <w:pPr>
              <w:spacing w:before="60" w:after="60"/>
              <w:jc w:val="center"/>
              <w:rPr>
                <w:b/>
                <w:bCs/>
                <w:sz w:val="22"/>
                <w:szCs w:val="22"/>
              </w:rPr>
            </w:pPr>
            <w:r w:rsidRPr="00AE261D">
              <w:rPr>
                <w:b/>
                <w:bCs/>
                <w:sz w:val="22"/>
                <w:szCs w:val="22"/>
              </w:rPr>
              <w:t>Tờ BĐĐC</w:t>
            </w:r>
            <w:r w:rsidRPr="00AE261D">
              <w:rPr>
                <w:b/>
                <w:bCs/>
                <w:sz w:val="22"/>
                <w:szCs w:val="22"/>
              </w:rPr>
              <w:br/>
              <w:t>số</w:t>
            </w:r>
          </w:p>
        </w:tc>
        <w:tc>
          <w:tcPr>
            <w:tcW w:w="1030" w:type="dxa"/>
            <w:vMerge w:val="restart"/>
            <w:shd w:val="clear" w:color="auto" w:fill="auto"/>
            <w:vAlign w:val="center"/>
            <w:hideMark/>
          </w:tcPr>
          <w:p w14:paraId="241EA995" w14:textId="77777777" w:rsidR="000C35B1" w:rsidRPr="00AE261D" w:rsidRDefault="000C35B1" w:rsidP="00C20CC4">
            <w:pPr>
              <w:spacing w:before="60" w:after="60"/>
              <w:jc w:val="center"/>
              <w:rPr>
                <w:b/>
                <w:bCs/>
                <w:sz w:val="22"/>
                <w:szCs w:val="22"/>
              </w:rPr>
            </w:pPr>
            <w:r w:rsidRPr="00AE261D">
              <w:rPr>
                <w:b/>
                <w:bCs/>
                <w:sz w:val="22"/>
                <w:szCs w:val="22"/>
              </w:rPr>
              <w:t>Diện tích</w:t>
            </w:r>
            <w:r w:rsidRPr="00AE261D">
              <w:rPr>
                <w:b/>
                <w:bCs/>
                <w:sz w:val="22"/>
                <w:szCs w:val="22"/>
              </w:rPr>
              <w:br/>
              <w:t>khu đất</w:t>
            </w:r>
            <w:r w:rsidRPr="00AE261D">
              <w:rPr>
                <w:b/>
                <w:bCs/>
                <w:sz w:val="22"/>
                <w:szCs w:val="22"/>
              </w:rPr>
              <w:br/>
              <w:t>(ha)</w:t>
            </w:r>
          </w:p>
        </w:tc>
        <w:tc>
          <w:tcPr>
            <w:tcW w:w="900" w:type="dxa"/>
            <w:vMerge w:val="restart"/>
            <w:shd w:val="clear" w:color="auto" w:fill="auto"/>
            <w:vAlign w:val="center"/>
            <w:hideMark/>
          </w:tcPr>
          <w:p w14:paraId="475C77FE" w14:textId="77777777" w:rsidR="000C35B1" w:rsidRPr="00AE261D" w:rsidRDefault="000C35B1" w:rsidP="00C20CC4">
            <w:pPr>
              <w:spacing w:before="60" w:after="60"/>
              <w:jc w:val="center"/>
              <w:rPr>
                <w:b/>
                <w:bCs/>
                <w:sz w:val="22"/>
                <w:szCs w:val="22"/>
              </w:rPr>
            </w:pPr>
            <w:r w:rsidRPr="00AE261D">
              <w:rPr>
                <w:b/>
                <w:bCs/>
                <w:sz w:val="22"/>
                <w:szCs w:val="22"/>
              </w:rPr>
              <w:t>Mục đích</w:t>
            </w:r>
            <w:r w:rsidRPr="00AE261D">
              <w:rPr>
                <w:b/>
                <w:bCs/>
                <w:sz w:val="22"/>
                <w:szCs w:val="22"/>
              </w:rPr>
              <w:br/>
              <w:t>đấu giá</w:t>
            </w:r>
          </w:p>
        </w:tc>
        <w:tc>
          <w:tcPr>
            <w:tcW w:w="1878" w:type="dxa"/>
            <w:vMerge w:val="restart"/>
            <w:shd w:val="clear" w:color="auto" w:fill="auto"/>
            <w:vAlign w:val="center"/>
            <w:hideMark/>
          </w:tcPr>
          <w:p w14:paraId="41743453" w14:textId="77777777" w:rsidR="000C35B1" w:rsidRPr="00AE261D" w:rsidRDefault="000C35B1" w:rsidP="00C20CC4">
            <w:pPr>
              <w:spacing w:before="60" w:after="60"/>
              <w:jc w:val="center"/>
              <w:rPr>
                <w:b/>
                <w:bCs/>
                <w:sz w:val="22"/>
                <w:szCs w:val="22"/>
              </w:rPr>
            </w:pPr>
            <w:r w:rsidRPr="00AE261D">
              <w:rPr>
                <w:b/>
                <w:bCs/>
                <w:sz w:val="22"/>
                <w:szCs w:val="22"/>
              </w:rPr>
              <w:t>Giá trị theo</w:t>
            </w:r>
            <w:r w:rsidRPr="00AE261D">
              <w:rPr>
                <w:b/>
                <w:bCs/>
                <w:sz w:val="22"/>
                <w:szCs w:val="22"/>
              </w:rPr>
              <w:br/>
              <w:t xml:space="preserve"> bảng giá đất</w:t>
            </w:r>
            <w:r w:rsidRPr="00AE261D">
              <w:rPr>
                <w:b/>
                <w:bCs/>
                <w:sz w:val="22"/>
                <w:szCs w:val="22"/>
              </w:rPr>
              <w:br/>
              <w:t xml:space="preserve"> (tỷ đồng)</w:t>
            </w:r>
          </w:p>
        </w:tc>
        <w:tc>
          <w:tcPr>
            <w:tcW w:w="1086" w:type="dxa"/>
            <w:vMerge w:val="restart"/>
            <w:shd w:val="clear" w:color="auto" w:fill="auto"/>
            <w:vAlign w:val="center"/>
            <w:hideMark/>
          </w:tcPr>
          <w:p w14:paraId="220820F5" w14:textId="77777777" w:rsidR="000C35B1" w:rsidRPr="00AE261D" w:rsidRDefault="000C35B1" w:rsidP="00C20CC4">
            <w:pPr>
              <w:spacing w:before="60" w:after="60"/>
              <w:jc w:val="center"/>
              <w:rPr>
                <w:b/>
                <w:bCs/>
                <w:sz w:val="22"/>
                <w:szCs w:val="22"/>
              </w:rPr>
            </w:pPr>
            <w:r w:rsidRPr="00AE261D">
              <w:rPr>
                <w:b/>
                <w:bCs/>
                <w:sz w:val="22"/>
                <w:szCs w:val="22"/>
              </w:rPr>
              <w:t xml:space="preserve">Dự kiến thời </w:t>
            </w:r>
            <w:r w:rsidRPr="00AE261D">
              <w:rPr>
                <w:b/>
                <w:bCs/>
                <w:sz w:val="22"/>
                <w:szCs w:val="22"/>
              </w:rPr>
              <w:br/>
              <w:t>gian tổ chức</w:t>
            </w:r>
            <w:r w:rsidRPr="00AE261D">
              <w:rPr>
                <w:b/>
                <w:bCs/>
                <w:sz w:val="22"/>
                <w:szCs w:val="22"/>
              </w:rPr>
              <w:br/>
              <w:t>phiên đấu giá</w:t>
            </w:r>
          </w:p>
        </w:tc>
        <w:tc>
          <w:tcPr>
            <w:tcW w:w="1316" w:type="dxa"/>
            <w:vMerge w:val="restart"/>
            <w:shd w:val="clear" w:color="auto" w:fill="auto"/>
            <w:vAlign w:val="center"/>
            <w:hideMark/>
          </w:tcPr>
          <w:p w14:paraId="2CE51173" w14:textId="77777777" w:rsidR="000C35B1" w:rsidRPr="00AE261D" w:rsidRDefault="000C35B1" w:rsidP="00C20CC4">
            <w:pPr>
              <w:spacing w:before="60" w:after="60"/>
              <w:jc w:val="center"/>
              <w:rPr>
                <w:b/>
                <w:bCs/>
                <w:sz w:val="22"/>
                <w:szCs w:val="22"/>
              </w:rPr>
            </w:pPr>
            <w:r w:rsidRPr="00AE261D">
              <w:rPr>
                <w:b/>
                <w:bCs/>
                <w:sz w:val="22"/>
                <w:szCs w:val="22"/>
              </w:rPr>
              <w:t>Đơn giá</w:t>
            </w:r>
            <w:r w:rsidRPr="00AE261D">
              <w:rPr>
                <w:b/>
                <w:bCs/>
                <w:sz w:val="22"/>
                <w:szCs w:val="22"/>
              </w:rPr>
              <w:br/>
              <w:t xml:space="preserve"> Đất ở</w:t>
            </w:r>
            <w:r w:rsidRPr="00AE261D">
              <w:rPr>
                <w:b/>
                <w:bCs/>
                <w:sz w:val="22"/>
                <w:szCs w:val="22"/>
              </w:rPr>
              <w:br/>
              <w:t>bình quân</w:t>
            </w:r>
            <w:r w:rsidRPr="00AE261D">
              <w:rPr>
                <w:b/>
                <w:bCs/>
                <w:sz w:val="22"/>
                <w:szCs w:val="22"/>
              </w:rPr>
              <w:br/>
              <w:t>thị trường</w:t>
            </w:r>
            <w:r w:rsidRPr="00AE261D">
              <w:rPr>
                <w:b/>
                <w:bCs/>
                <w:sz w:val="22"/>
                <w:szCs w:val="22"/>
              </w:rPr>
              <w:br/>
              <w:t>(đồng/m2)</w:t>
            </w:r>
          </w:p>
        </w:tc>
        <w:tc>
          <w:tcPr>
            <w:tcW w:w="2190" w:type="dxa"/>
            <w:vMerge w:val="restart"/>
            <w:shd w:val="clear" w:color="auto" w:fill="auto"/>
            <w:vAlign w:val="center"/>
            <w:hideMark/>
          </w:tcPr>
          <w:p w14:paraId="6ADB3653" w14:textId="77777777" w:rsidR="000C35B1" w:rsidRPr="00AE261D" w:rsidRDefault="000C35B1" w:rsidP="00C20CC4">
            <w:pPr>
              <w:spacing w:before="60" w:after="60"/>
              <w:jc w:val="center"/>
              <w:rPr>
                <w:b/>
                <w:bCs/>
                <w:sz w:val="22"/>
                <w:szCs w:val="22"/>
              </w:rPr>
            </w:pPr>
            <w:r w:rsidRPr="00AE261D">
              <w:rPr>
                <w:b/>
                <w:bCs/>
                <w:sz w:val="22"/>
                <w:szCs w:val="22"/>
              </w:rPr>
              <w:t>Giá trị</w:t>
            </w:r>
            <w:r w:rsidRPr="00AE261D">
              <w:rPr>
                <w:b/>
                <w:bCs/>
                <w:sz w:val="22"/>
                <w:szCs w:val="22"/>
              </w:rPr>
              <w:br/>
              <w:t>Khởi điểm</w:t>
            </w:r>
            <w:r w:rsidRPr="00AE261D">
              <w:rPr>
                <w:b/>
                <w:bCs/>
                <w:sz w:val="22"/>
                <w:szCs w:val="22"/>
              </w:rPr>
              <w:br/>
              <w:t>dự kiến</w:t>
            </w:r>
            <w:r w:rsidRPr="00AE261D">
              <w:rPr>
                <w:b/>
                <w:bCs/>
                <w:sz w:val="22"/>
                <w:szCs w:val="22"/>
              </w:rPr>
              <w:br/>
              <w:t>(Tỷ đồng)</w:t>
            </w:r>
          </w:p>
        </w:tc>
        <w:tc>
          <w:tcPr>
            <w:tcW w:w="684" w:type="dxa"/>
            <w:vMerge w:val="restart"/>
            <w:shd w:val="clear" w:color="auto" w:fill="auto"/>
            <w:vAlign w:val="center"/>
            <w:hideMark/>
          </w:tcPr>
          <w:p w14:paraId="76C00E47" w14:textId="77777777" w:rsidR="000C35B1" w:rsidRPr="00AE261D" w:rsidRDefault="000C35B1" w:rsidP="00C20CC4">
            <w:pPr>
              <w:spacing w:before="60" w:after="60"/>
              <w:jc w:val="center"/>
              <w:rPr>
                <w:b/>
                <w:bCs/>
                <w:sz w:val="22"/>
                <w:szCs w:val="22"/>
              </w:rPr>
            </w:pPr>
            <w:r w:rsidRPr="00AE261D">
              <w:rPr>
                <w:b/>
                <w:bCs/>
                <w:sz w:val="22"/>
                <w:szCs w:val="22"/>
              </w:rPr>
              <w:t>Ghi chú</w:t>
            </w:r>
          </w:p>
        </w:tc>
      </w:tr>
      <w:tr w:rsidR="00002C6B" w:rsidRPr="00AE261D" w14:paraId="1910BD75" w14:textId="77777777" w:rsidTr="00DF3719">
        <w:trPr>
          <w:trHeight w:val="1065"/>
          <w:tblHeader/>
        </w:trPr>
        <w:tc>
          <w:tcPr>
            <w:tcW w:w="632" w:type="dxa"/>
            <w:vMerge/>
            <w:shd w:val="clear" w:color="auto" w:fill="auto"/>
            <w:vAlign w:val="center"/>
            <w:hideMark/>
          </w:tcPr>
          <w:p w14:paraId="6BDD573F" w14:textId="77777777" w:rsidR="000C35B1" w:rsidRPr="00AE261D" w:rsidRDefault="000C35B1" w:rsidP="00002C6B">
            <w:pPr>
              <w:jc w:val="center"/>
              <w:rPr>
                <w:b/>
                <w:bCs/>
                <w:sz w:val="22"/>
                <w:szCs w:val="22"/>
              </w:rPr>
            </w:pPr>
          </w:p>
        </w:tc>
        <w:tc>
          <w:tcPr>
            <w:tcW w:w="2504" w:type="dxa"/>
            <w:vMerge/>
            <w:shd w:val="clear" w:color="auto" w:fill="auto"/>
            <w:vAlign w:val="center"/>
            <w:hideMark/>
          </w:tcPr>
          <w:p w14:paraId="2568FED4" w14:textId="77777777" w:rsidR="000C35B1" w:rsidRPr="00AE261D" w:rsidRDefault="000C35B1" w:rsidP="00002C6B">
            <w:pPr>
              <w:jc w:val="center"/>
              <w:rPr>
                <w:b/>
                <w:bCs/>
                <w:sz w:val="22"/>
                <w:szCs w:val="22"/>
              </w:rPr>
            </w:pPr>
          </w:p>
        </w:tc>
        <w:tc>
          <w:tcPr>
            <w:tcW w:w="947" w:type="dxa"/>
            <w:vMerge/>
            <w:shd w:val="clear" w:color="auto" w:fill="auto"/>
            <w:vAlign w:val="center"/>
            <w:hideMark/>
          </w:tcPr>
          <w:p w14:paraId="4804D711" w14:textId="77777777" w:rsidR="000C35B1" w:rsidRPr="00AE261D" w:rsidRDefault="000C35B1" w:rsidP="00002C6B">
            <w:pPr>
              <w:jc w:val="center"/>
              <w:rPr>
                <w:b/>
                <w:bCs/>
                <w:sz w:val="22"/>
                <w:szCs w:val="22"/>
              </w:rPr>
            </w:pPr>
          </w:p>
        </w:tc>
        <w:tc>
          <w:tcPr>
            <w:tcW w:w="829" w:type="dxa"/>
            <w:vMerge/>
            <w:shd w:val="clear" w:color="auto" w:fill="auto"/>
            <w:vAlign w:val="center"/>
            <w:hideMark/>
          </w:tcPr>
          <w:p w14:paraId="7CBB8F06" w14:textId="77777777" w:rsidR="000C35B1" w:rsidRPr="00AE261D" w:rsidRDefault="000C35B1" w:rsidP="00002C6B">
            <w:pPr>
              <w:jc w:val="center"/>
              <w:rPr>
                <w:b/>
                <w:bCs/>
                <w:sz w:val="22"/>
                <w:szCs w:val="22"/>
              </w:rPr>
            </w:pPr>
          </w:p>
        </w:tc>
        <w:tc>
          <w:tcPr>
            <w:tcW w:w="840" w:type="dxa"/>
            <w:vMerge/>
            <w:shd w:val="clear" w:color="auto" w:fill="auto"/>
            <w:vAlign w:val="center"/>
            <w:hideMark/>
          </w:tcPr>
          <w:p w14:paraId="426ACFF1" w14:textId="77777777" w:rsidR="000C35B1" w:rsidRPr="00AE261D" w:rsidRDefault="000C35B1" w:rsidP="00002C6B">
            <w:pPr>
              <w:jc w:val="center"/>
              <w:rPr>
                <w:b/>
                <w:bCs/>
                <w:sz w:val="22"/>
                <w:szCs w:val="22"/>
              </w:rPr>
            </w:pPr>
          </w:p>
        </w:tc>
        <w:tc>
          <w:tcPr>
            <w:tcW w:w="1030" w:type="dxa"/>
            <w:vMerge/>
            <w:shd w:val="clear" w:color="auto" w:fill="auto"/>
            <w:vAlign w:val="center"/>
            <w:hideMark/>
          </w:tcPr>
          <w:p w14:paraId="16B826A5" w14:textId="77777777" w:rsidR="000C35B1" w:rsidRPr="00AE261D" w:rsidRDefault="000C35B1" w:rsidP="00002C6B">
            <w:pPr>
              <w:jc w:val="center"/>
              <w:rPr>
                <w:b/>
                <w:bCs/>
                <w:sz w:val="22"/>
                <w:szCs w:val="22"/>
              </w:rPr>
            </w:pPr>
          </w:p>
        </w:tc>
        <w:tc>
          <w:tcPr>
            <w:tcW w:w="900" w:type="dxa"/>
            <w:vMerge/>
            <w:shd w:val="clear" w:color="auto" w:fill="auto"/>
            <w:vAlign w:val="center"/>
            <w:hideMark/>
          </w:tcPr>
          <w:p w14:paraId="31AF5678" w14:textId="77777777" w:rsidR="000C35B1" w:rsidRPr="00AE261D" w:rsidRDefault="000C35B1" w:rsidP="00002C6B">
            <w:pPr>
              <w:jc w:val="center"/>
              <w:rPr>
                <w:b/>
                <w:bCs/>
                <w:sz w:val="22"/>
                <w:szCs w:val="22"/>
              </w:rPr>
            </w:pPr>
          </w:p>
        </w:tc>
        <w:tc>
          <w:tcPr>
            <w:tcW w:w="1878" w:type="dxa"/>
            <w:vMerge/>
            <w:shd w:val="clear" w:color="auto" w:fill="auto"/>
            <w:vAlign w:val="center"/>
            <w:hideMark/>
          </w:tcPr>
          <w:p w14:paraId="2E94FADC" w14:textId="77777777" w:rsidR="000C35B1" w:rsidRPr="00AE261D" w:rsidRDefault="000C35B1" w:rsidP="00002C6B">
            <w:pPr>
              <w:jc w:val="center"/>
              <w:rPr>
                <w:b/>
                <w:bCs/>
                <w:sz w:val="22"/>
                <w:szCs w:val="22"/>
              </w:rPr>
            </w:pPr>
          </w:p>
        </w:tc>
        <w:tc>
          <w:tcPr>
            <w:tcW w:w="1086" w:type="dxa"/>
            <w:vMerge/>
            <w:shd w:val="clear" w:color="auto" w:fill="auto"/>
            <w:vAlign w:val="center"/>
            <w:hideMark/>
          </w:tcPr>
          <w:p w14:paraId="2468856B" w14:textId="77777777" w:rsidR="000C35B1" w:rsidRPr="00AE261D" w:rsidRDefault="000C35B1" w:rsidP="00002C6B">
            <w:pPr>
              <w:jc w:val="center"/>
              <w:rPr>
                <w:b/>
                <w:bCs/>
                <w:sz w:val="22"/>
                <w:szCs w:val="22"/>
              </w:rPr>
            </w:pPr>
          </w:p>
        </w:tc>
        <w:tc>
          <w:tcPr>
            <w:tcW w:w="1316" w:type="dxa"/>
            <w:vMerge/>
            <w:shd w:val="clear" w:color="auto" w:fill="auto"/>
            <w:vAlign w:val="center"/>
            <w:hideMark/>
          </w:tcPr>
          <w:p w14:paraId="58D315E3" w14:textId="77777777" w:rsidR="000C35B1" w:rsidRPr="00AE261D" w:rsidRDefault="000C35B1" w:rsidP="00002C6B">
            <w:pPr>
              <w:jc w:val="center"/>
              <w:rPr>
                <w:b/>
                <w:bCs/>
                <w:sz w:val="22"/>
                <w:szCs w:val="22"/>
              </w:rPr>
            </w:pPr>
          </w:p>
        </w:tc>
        <w:tc>
          <w:tcPr>
            <w:tcW w:w="2190" w:type="dxa"/>
            <w:vMerge/>
            <w:shd w:val="clear" w:color="auto" w:fill="auto"/>
            <w:vAlign w:val="center"/>
            <w:hideMark/>
          </w:tcPr>
          <w:p w14:paraId="34FB9243" w14:textId="77777777" w:rsidR="000C35B1" w:rsidRPr="00AE261D" w:rsidRDefault="000C35B1" w:rsidP="00002C6B">
            <w:pPr>
              <w:jc w:val="center"/>
              <w:rPr>
                <w:b/>
                <w:bCs/>
                <w:sz w:val="22"/>
                <w:szCs w:val="22"/>
              </w:rPr>
            </w:pPr>
          </w:p>
        </w:tc>
        <w:tc>
          <w:tcPr>
            <w:tcW w:w="684" w:type="dxa"/>
            <w:vMerge/>
            <w:shd w:val="clear" w:color="auto" w:fill="auto"/>
            <w:vAlign w:val="center"/>
            <w:hideMark/>
          </w:tcPr>
          <w:p w14:paraId="3226E44A" w14:textId="77777777" w:rsidR="000C35B1" w:rsidRPr="00AE261D" w:rsidRDefault="000C35B1" w:rsidP="00002C6B">
            <w:pPr>
              <w:jc w:val="center"/>
              <w:rPr>
                <w:b/>
                <w:bCs/>
                <w:sz w:val="22"/>
                <w:szCs w:val="22"/>
              </w:rPr>
            </w:pPr>
          </w:p>
        </w:tc>
      </w:tr>
      <w:tr w:rsidR="00002C6B" w:rsidRPr="00AE261D" w14:paraId="2CC4BCE2" w14:textId="77777777" w:rsidTr="00DF3719">
        <w:trPr>
          <w:trHeight w:val="431"/>
        </w:trPr>
        <w:tc>
          <w:tcPr>
            <w:tcW w:w="632" w:type="dxa"/>
            <w:vMerge w:val="restart"/>
            <w:shd w:val="clear" w:color="auto" w:fill="auto"/>
            <w:vAlign w:val="center"/>
            <w:hideMark/>
          </w:tcPr>
          <w:p w14:paraId="3240EB6D" w14:textId="77777777" w:rsidR="000C35B1" w:rsidRPr="00AE261D" w:rsidRDefault="000C35B1" w:rsidP="00DF3719">
            <w:pPr>
              <w:spacing w:before="60" w:after="60"/>
              <w:jc w:val="center"/>
              <w:rPr>
                <w:sz w:val="22"/>
                <w:szCs w:val="22"/>
              </w:rPr>
            </w:pPr>
            <w:r w:rsidRPr="00AE261D">
              <w:rPr>
                <w:sz w:val="22"/>
                <w:szCs w:val="22"/>
              </w:rPr>
              <w:t>1</w:t>
            </w:r>
          </w:p>
        </w:tc>
        <w:tc>
          <w:tcPr>
            <w:tcW w:w="2504" w:type="dxa"/>
            <w:vMerge w:val="restart"/>
            <w:shd w:val="clear" w:color="auto" w:fill="auto"/>
            <w:vAlign w:val="center"/>
            <w:hideMark/>
          </w:tcPr>
          <w:p w14:paraId="7F9477BB" w14:textId="77777777" w:rsidR="000C35B1" w:rsidRPr="00AE261D" w:rsidRDefault="000C35B1" w:rsidP="00DF3719">
            <w:pPr>
              <w:spacing w:before="60" w:after="60"/>
              <w:jc w:val="both"/>
              <w:rPr>
                <w:sz w:val="22"/>
                <w:szCs w:val="22"/>
              </w:rPr>
            </w:pPr>
            <w:r w:rsidRPr="00AE261D">
              <w:rPr>
                <w:sz w:val="22"/>
                <w:szCs w:val="22"/>
              </w:rPr>
              <w:t>Khu đất Khu đô thị - thương mại - dịch vụ hỗn hợp (khu vực 1) khoảng 51,65 ha tại phường Trấn Biên</w:t>
            </w:r>
          </w:p>
        </w:tc>
        <w:tc>
          <w:tcPr>
            <w:tcW w:w="947" w:type="dxa"/>
            <w:vMerge w:val="restart"/>
            <w:shd w:val="clear" w:color="auto" w:fill="auto"/>
            <w:vAlign w:val="center"/>
            <w:hideMark/>
          </w:tcPr>
          <w:p w14:paraId="7DC2378B" w14:textId="77777777" w:rsidR="000C35B1" w:rsidRPr="00AE261D" w:rsidRDefault="000C35B1" w:rsidP="00DF3719">
            <w:pPr>
              <w:spacing w:before="60" w:after="60"/>
              <w:jc w:val="center"/>
              <w:rPr>
                <w:sz w:val="22"/>
                <w:szCs w:val="22"/>
              </w:rPr>
            </w:pPr>
            <w:r w:rsidRPr="00AE261D">
              <w:rPr>
                <w:sz w:val="22"/>
                <w:szCs w:val="22"/>
              </w:rPr>
              <w:t>Trấn Biên</w:t>
            </w:r>
          </w:p>
        </w:tc>
        <w:tc>
          <w:tcPr>
            <w:tcW w:w="829" w:type="dxa"/>
            <w:vMerge w:val="restart"/>
            <w:shd w:val="clear" w:color="auto" w:fill="auto"/>
            <w:vAlign w:val="center"/>
            <w:hideMark/>
          </w:tcPr>
          <w:p w14:paraId="1ED9BE05" w14:textId="77777777" w:rsidR="000C35B1" w:rsidRPr="00AE261D" w:rsidRDefault="000C35B1" w:rsidP="00DF3719">
            <w:pPr>
              <w:spacing w:before="60" w:after="60"/>
              <w:jc w:val="center"/>
              <w:rPr>
                <w:sz w:val="22"/>
                <w:szCs w:val="22"/>
              </w:rPr>
            </w:pPr>
          </w:p>
        </w:tc>
        <w:tc>
          <w:tcPr>
            <w:tcW w:w="840" w:type="dxa"/>
            <w:vMerge w:val="restart"/>
            <w:shd w:val="clear" w:color="auto" w:fill="auto"/>
            <w:vAlign w:val="center"/>
            <w:hideMark/>
          </w:tcPr>
          <w:p w14:paraId="225B764C" w14:textId="77777777" w:rsidR="000C35B1" w:rsidRPr="00AE261D" w:rsidRDefault="000C35B1" w:rsidP="00DF3719">
            <w:pPr>
              <w:spacing w:before="60" w:after="60"/>
              <w:jc w:val="center"/>
              <w:rPr>
                <w:sz w:val="22"/>
                <w:szCs w:val="22"/>
              </w:rPr>
            </w:pPr>
          </w:p>
        </w:tc>
        <w:tc>
          <w:tcPr>
            <w:tcW w:w="1030" w:type="dxa"/>
            <w:vMerge w:val="restart"/>
            <w:shd w:val="clear" w:color="auto" w:fill="auto"/>
            <w:vAlign w:val="center"/>
            <w:hideMark/>
          </w:tcPr>
          <w:p w14:paraId="29D60918" w14:textId="77777777" w:rsidR="000C35B1" w:rsidRPr="00AE261D" w:rsidRDefault="000C35B1" w:rsidP="00DF3719">
            <w:pPr>
              <w:spacing w:before="60" w:after="60"/>
              <w:jc w:val="center"/>
              <w:rPr>
                <w:sz w:val="22"/>
                <w:szCs w:val="22"/>
              </w:rPr>
            </w:pPr>
            <w:r w:rsidRPr="00AE261D">
              <w:rPr>
                <w:sz w:val="22"/>
                <w:szCs w:val="22"/>
              </w:rPr>
              <w:t>51,65</w:t>
            </w:r>
          </w:p>
        </w:tc>
        <w:tc>
          <w:tcPr>
            <w:tcW w:w="900" w:type="dxa"/>
            <w:vMerge w:val="restart"/>
            <w:shd w:val="clear" w:color="auto" w:fill="auto"/>
            <w:vAlign w:val="center"/>
            <w:hideMark/>
          </w:tcPr>
          <w:p w14:paraId="13279C23" w14:textId="77777777" w:rsidR="000C35B1" w:rsidRPr="00AE261D" w:rsidRDefault="000C35B1" w:rsidP="00DF3719">
            <w:pPr>
              <w:spacing w:before="60" w:after="60"/>
              <w:jc w:val="center"/>
              <w:rPr>
                <w:sz w:val="22"/>
                <w:szCs w:val="22"/>
              </w:rPr>
            </w:pPr>
            <w:r w:rsidRPr="00AE261D">
              <w:rPr>
                <w:sz w:val="22"/>
                <w:szCs w:val="22"/>
              </w:rPr>
              <w:t>ODT</w:t>
            </w:r>
          </w:p>
        </w:tc>
        <w:tc>
          <w:tcPr>
            <w:tcW w:w="1878" w:type="dxa"/>
            <w:vMerge w:val="restart"/>
            <w:shd w:val="clear" w:color="auto" w:fill="auto"/>
            <w:vAlign w:val="center"/>
            <w:hideMark/>
          </w:tcPr>
          <w:p w14:paraId="719DA9F4" w14:textId="77777777" w:rsidR="000C35B1" w:rsidRPr="00AE261D" w:rsidRDefault="000C35B1" w:rsidP="00DF3719">
            <w:pPr>
              <w:spacing w:before="60" w:after="60"/>
              <w:jc w:val="center"/>
              <w:rPr>
                <w:sz w:val="22"/>
                <w:szCs w:val="22"/>
              </w:rPr>
            </w:pPr>
            <w:r w:rsidRPr="00AE261D">
              <w:rPr>
                <w:sz w:val="22"/>
                <w:szCs w:val="22"/>
              </w:rPr>
              <w:t>2.786,37</w:t>
            </w:r>
          </w:p>
        </w:tc>
        <w:tc>
          <w:tcPr>
            <w:tcW w:w="1086" w:type="dxa"/>
            <w:vMerge w:val="restart"/>
            <w:shd w:val="clear" w:color="auto" w:fill="auto"/>
            <w:vAlign w:val="center"/>
            <w:hideMark/>
          </w:tcPr>
          <w:p w14:paraId="488DDB2B" w14:textId="77777777" w:rsidR="000C35B1" w:rsidRPr="00AE261D" w:rsidRDefault="000C35B1" w:rsidP="00DF3719">
            <w:pPr>
              <w:spacing w:before="60" w:after="60"/>
              <w:jc w:val="center"/>
              <w:rPr>
                <w:sz w:val="22"/>
                <w:szCs w:val="22"/>
              </w:rPr>
            </w:pPr>
            <w:r w:rsidRPr="00AE261D">
              <w:rPr>
                <w:sz w:val="22"/>
                <w:szCs w:val="22"/>
              </w:rPr>
              <w:t>Trong năm 2025</w:t>
            </w:r>
          </w:p>
        </w:tc>
        <w:tc>
          <w:tcPr>
            <w:tcW w:w="1316" w:type="dxa"/>
            <w:vMerge w:val="restart"/>
            <w:shd w:val="clear" w:color="auto" w:fill="auto"/>
            <w:vAlign w:val="center"/>
            <w:hideMark/>
          </w:tcPr>
          <w:p w14:paraId="051DDF42" w14:textId="77777777" w:rsidR="000C35B1" w:rsidRPr="00AE261D" w:rsidRDefault="000C35B1" w:rsidP="00DF3719">
            <w:pPr>
              <w:spacing w:before="60" w:after="60"/>
              <w:jc w:val="center"/>
              <w:rPr>
                <w:sz w:val="22"/>
                <w:szCs w:val="22"/>
              </w:rPr>
            </w:pPr>
            <w:r w:rsidRPr="00AE261D">
              <w:rPr>
                <w:sz w:val="22"/>
                <w:szCs w:val="22"/>
              </w:rPr>
              <w:t>50.000.000</w:t>
            </w:r>
          </w:p>
        </w:tc>
        <w:tc>
          <w:tcPr>
            <w:tcW w:w="2190" w:type="dxa"/>
            <w:shd w:val="clear" w:color="auto" w:fill="auto"/>
            <w:vAlign w:val="center"/>
            <w:hideMark/>
          </w:tcPr>
          <w:p w14:paraId="660AAA43" w14:textId="77777777" w:rsidR="000C35B1" w:rsidRPr="00AE261D" w:rsidRDefault="000C35B1" w:rsidP="00DF3719">
            <w:pPr>
              <w:spacing w:before="60" w:after="60"/>
              <w:jc w:val="center"/>
              <w:rPr>
                <w:sz w:val="22"/>
                <w:szCs w:val="22"/>
              </w:rPr>
            </w:pPr>
            <w:r w:rsidRPr="00AE261D">
              <w:rPr>
                <w:sz w:val="22"/>
                <w:szCs w:val="22"/>
              </w:rPr>
              <w:t>9.363,00</w:t>
            </w:r>
          </w:p>
        </w:tc>
        <w:tc>
          <w:tcPr>
            <w:tcW w:w="684" w:type="dxa"/>
            <w:vMerge w:val="restart"/>
            <w:shd w:val="clear" w:color="auto" w:fill="auto"/>
            <w:vAlign w:val="center"/>
            <w:hideMark/>
          </w:tcPr>
          <w:p w14:paraId="4232AA86" w14:textId="77777777" w:rsidR="000C35B1" w:rsidRPr="00AE261D" w:rsidRDefault="000C35B1" w:rsidP="00DF3719">
            <w:pPr>
              <w:spacing w:before="60" w:after="60"/>
              <w:jc w:val="center"/>
              <w:rPr>
                <w:sz w:val="22"/>
                <w:szCs w:val="22"/>
              </w:rPr>
            </w:pPr>
          </w:p>
        </w:tc>
      </w:tr>
      <w:tr w:rsidR="00002C6B" w:rsidRPr="00AE261D" w14:paraId="60FF2587" w14:textId="77777777" w:rsidTr="00DF3719">
        <w:trPr>
          <w:trHeight w:val="1415"/>
        </w:trPr>
        <w:tc>
          <w:tcPr>
            <w:tcW w:w="632" w:type="dxa"/>
            <w:vMerge/>
            <w:shd w:val="clear" w:color="auto" w:fill="auto"/>
            <w:vAlign w:val="center"/>
            <w:hideMark/>
          </w:tcPr>
          <w:p w14:paraId="128EFAA7" w14:textId="77777777" w:rsidR="000C35B1" w:rsidRPr="00AE261D" w:rsidRDefault="000C35B1" w:rsidP="00DF3719">
            <w:pPr>
              <w:spacing w:before="60" w:after="60"/>
              <w:jc w:val="center"/>
              <w:rPr>
                <w:sz w:val="22"/>
                <w:szCs w:val="22"/>
              </w:rPr>
            </w:pPr>
          </w:p>
        </w:tc>
        <w:tc>
          <w:tcPr>
            <w:tcW w:w="2504" w:type="dxa"/>
            <w:vMerge/>
            <w:shd w:val="clear" w:color="auto" w:fill="auto"/>
            <w:vAlign w:val="center"/>
            <w:hideMark/>
          </w:tcPr>
          <w:p w14:paraId="12329643" w14:textId="77777777" w:rsidR="000C35B1" w:rsidRPr="00AE261D" w:rsidRDefault="000C35B1" w:rsidP="00DF3719">
            <w:pPr>
              <w:spacing w:before="60" w:after="60"/>
              <w:jc w:val="both"/>
              <w:rPr>
                <w:sz w:val="22"/>
                <w:szCs w:val="22"/>
              </w:rPr>
            </w:pPr>
          </w:p>
        </w:tc>
        <w:tc>
          <w:tcPr>
            <w:tcW w:w="947" w:type="dxa"/>
            <w:vMerge/>
            <w:shd w:val="clear" w:color="auto" w:fill="auto"/>
            <w:vAlign w:val="center"/>
            <w:hideMark/>
          </w:tcPr>
          <w:p w14:paraId="39BB47A8" w14:textId="77777777" w:rsidR="000C35B1" w:rsidRPr="00AE261D" w:rsidRDefault="000C35B1" w:rsidP="00DF3719">
            <w:pPr>
              <w:spacing w:before="60" w:after="60"/>
              <w:jc w:val="center"/>
              <w:rPr>
                <w:sz w:val="22"/>
                <w:szCs w:val="22"/>
              </w:rPr>
            </w:pPr>
          </w:p>
        </w:tc>
        <w:tc>
          <w:tcPr>
            <w:tcW w:w="829" w:type="dxa"/>
            <w:vMerge/>
            <w:shd w:val="clear" w:color="auto" w:fill="auto"/>
            <w:vAlign w:val="center"/>
            <w:hideMark/>
          </w:tcPr>
          <w:p w14:paraId="60B8BE2A" w14:textId="77777777" w:rsidR="000C35B1" w:rsidRPr="00AE261D" w:rsidRDefault="000C35B1" w:rsidP="00DF3719">
            <w:pPr>
              <w:spacing w:before="60" w:after="60"/>
              <w:jc w:val="center"/>
              <w:rPr>
                <w:sz w:val="22"/>
                <w:szCs w:val="22"/>
              </w:rPr>
            </w:pPr>
          </w:p>
        </w:tc>
        <w:tc>
          <w:tcPr>
            <w:tcW w:w="840" w:type="dxa"/>
            <w:vMerge/>
            <w:shd w:val="clear" w:color="auto" w:fill="auto"/>
            <w:vAlign w:val="center"/>
            <w:hideMark/>
          </w:tcPr>
          <w:p w14:paraId="2A642BB3" w14:textId="77777777" w:rsidR="000C35B1" w:rsidRPr="00AE261D" w:rsidRDefault="000C35B1" w:rsidP="00DF3719">
            <w:pPr>
              <w:spacing w:before="60" w:after="60"/>
              <w:jc w:val="center"/>
              <w:rPr>
                <w:sz w:val="22"/>
                <w:szCs w:val="22"/>
              </w:rPr>
            </w:pPr>
          </w:p>
        </w:tc>
        <w:tc>
          <w:tcPr>
            <w:tcW w:w="1030" w:type="dxa"/>
            <w:vMerge/>
            <w:shd w:val="clear" w:color="auto" w:fill="auto"/>
            <w:vAlign w:val="center"/>
            <w:hideMark/>
          </w:tcPr>
          <w:p w14:paraId="5FED2EB8" w14:textId="77777777" w:rsidR="000C35B1" w:rsidRPr="00AE261D" w:rsidRDefault="000C35B1" w:rsidP="00DF3719">
            <w:pPr>
              <w:spacing w:before="60" w:after="60"/>
              <w:jc w:val="center"/>
              <w:rPr>
                <w:sz w:val="22"/>
                <w:szCs w:val="22"/>
              </w:rPr>
            </w:pPr>
          </w:p>
        </w:tc>
        <w:tc>
          <w:tcPr>
            <w:tcW w:w="900" w:type="dxa"/>
            <w:vMerge/>
            <w:shd w:val="clear" w:color="auto" w:fill="auto"/>
            <w:vAlign w:val="center"/>
            <w:hideMark/>
          </w:tcPr>
          <w:p w14:paraId="292627A1" w14:textId="77777777" w:rsidR="000C35B1" w:rsidRPr="00AE261D" w:rsidRDefault="000C35B1" w:rsidP="00DF3719">
            <w:pPr>
              <w:spacing w:before="60" w:after="60"/>
              <w:jc w:val="center"/>
              <w:rPr>
                <w:sz w:val="22"/>
                <w:szCs w:val="22"/>
              </w:rPr>
            </w:pPr>
          </w:p>
        </w:tc>
        <w:tc>
          <w:tcPr>
            <w:tcW w:w="1878" w:type="dxa"/>
            <w:vMerge/>
            <w:shd w:val="clear" w:color="auto" w:fill="auto"/>
            <w:vAlign w:val="center"/>
            <w:hideMark/>
          </w:tcPr>
          <w:p w14:paraId="37CB1CB6" w14:textId="77777777" w:rsidR="000C35B1" w:rsidRPr="00AE261D" w:rsidRDefault="000C35B1" w:rsidP="00DF3719">
            <w:pPr>
              <w:spacing w:before="60" w:after="60"/>
              <w:jc w:val="center"/>
              <w:rPr>
                <w:sz w:val="22"/>
                <w:szCs w:val="22"/>
              </w:rPr>
            </w:pPr>
          </w:p>
        </w:tc>
        <w:tc>
          <w:tcPr>
            <w:tcW w:w="1086" w:type="dxa"/>
            <w:vMerge/>
            <w:shd w:val="clear" w:color="auto" w:fill="auto"/>
            <w:vAlign w:val="center"/>
            <w:hideMark/>
          </w:tcPr>
          <w:p w14:paraId="06194810" w14:textId="77777777" w:rsidR="000C35B1" w:rsidRPr="00AE261D" w:rsidRDefault="000C35B1" w:rsidP="00DF3719">
            <w:pPr>
              <w:spacing w:before="60" w:after="60"/>
              <w:jc w:val="center"/>
              <w:rPr>
                <w:sz w:val="22"/>
                <w:szCs w:val="22"/>
              </w:rPr>
            </w:pPr>
          </w:p>
        </w:tc>
        <w:tc>
          <w:tcPr>
            <w:tcW w:w="1316" w:type="dxa"/>
            <w:vMerge/>
            <w:shd w:val="clear" w:color="auto" w:fill="auto"/>
            <w:vAlign w:val="center"/>
            <w:hideMark/>
          </w:tcPr>
          <w:p w14:paraId="12EE4E67" w14:textId="77777777" w:rsidR="000C35B1" w:rsidRPr="00AE261D" w:rsidRDefault="000C35B1" w:rsidP="00DF3719">
            <w:pPr>
              <w:spacing w:before="60" w:after="60"/>
              <w:jc w:val="center"/>
              <w:rPr>
                <w:sz w:val="22"/>
                <w:szCs w:val="22"/>
              </w:rPr>
            </w:pPr>
          </w:p>
        </w:tc>
        <w:tc>
          <w:tcPr>
            <w:tcW w:w="2190" w:type="dxa"/>
            <w:shd w:val="clear" w:color="auto" w:fill="auto"/>
            <w:vAlign w:val="center"/>
            <w:hideMark/>
          </w:tcPr>
          <w:p w14:paraId="5B428EEC" w14:textId="77777777" w:rsidR="000C35B1" w:rsidRPr="00AE261D" w:rsidRDefault="000C35B1" w:rsidP="00DF3719">
            <w:pPr>
              <w:spacing w:before="60" w:after="60"/>
              <w:jc w:val="both"/>
              <w:rPr>
                <w:sz w:val="22"/>
                <w:szCs w:val="22"/>
              </w:rPr>
            </w:pPr>
            <w:r w:rsidRPr="00AE261D">
              <w:rPr>
                <w:sz w:val="22"/>
                <w:szCs w:val="22"/>
              </w:rPr>
              <w:t>Thông báo đấu giá tài sản số 169/TB-ĐGTS của Trung tâm dịch vụ Đấu giá tài sản tỉnh Đồng Nai ngày 14/11/2025</w:t>
            </w:r>
          </w:p>
        </w:tc>
        <w:tc>
          <w:tcPr>
            <w:tcW w:w="684" w:type="dxa"/>
            <w:vMerge/>
            <w:shd w:val="clear" w:color="auto" w:fill="auto"/>
            <w:vAlign w:val="center"/>
            <w:hideMark/>
          </w:tcPr>
          <w:p w14:paraId="2371D4D8" w14:textId="77777777" w:rsidR="000C35B1" w:rsidRPr="00AE261D" w:rsidRDefault="000C35B1" w:rsidP="00DF3719">
            <w:pPr>
              <w:spacing w:before="60" w:after="60"/>
              <w:jc w:val="center"/>
              <w:rPr>
                <w:sz w:val="22"/>
                <w:szCs w:val="22"/>
              </w:rPr>
            </w:pPr>
          </w:p>
        </w:tc>
      </w:tr>
      <w:tr w:rsidR="00002C6B" w:rsidRPr="00AE261D" w14:paraId="212C0743" w14:textId="77777777" w:rsidTr="00DF3719">
        <w:trPr>
          <w:trHeight w:val="535"/>
        </w:trPr>
        <w:tc>
          <w:tcPr>
            <w:tcW w:w="632" w:type="dxa"/>
            <w:vMerge w:val="restart"/>
            <w:shd w:val="clear" w:color="auto" w:fill="auto"/>
            <w:vAlign w:val="center"/>
            <w:hideMark/>
          </w:tcPr>
          <w:p w14:paraId="374F9BB0" w14:textId="77777777" w:rsidR="000C35B1" w:rsidRPr="00AE261D" w:rsidRDefault="000C35B1" w:rsidP="00DF3719">
            <w:pPr>
              <w:spacing w:before="60" w:after="60"/>
              <w:jc w:val="center"/>
              <w:rPr>
                <w:sz w:val="22"/>
                <w:szCs w:val="22"/>
              </w:rPr>
            </w:pPr>
            <w:r w:rsidRPr="00AE261D">
              <w:rPr>
                <w:sz w:val="22"/>
                <w:szCs w:val="22"/>
              </w:rPr>
              <w:t>2</w:t>
            </w:r>
          </w:p>
        </w:tc>
        <w:tc>
          <w:tcPr>
            <w:tcW w:w="2504" w:type="dxa"/>
            <w:vMerge w:val="restart"/>
            <w:shd w:val="clear" w:color="auto" w:fill="auto"/>
            <w:vAlign w:val="center"/>
            <w:hideMark/>
          </w:tcPr>
          <w:p w14:paraId="04147B25" w14:textId="39FB3BB9" w:rsidR="000C35B1" w:rsidRPr="00AE261D" w:rsidRDefault="000C35B1" w:rsidP="00DF3719">
            <w:pPr>
              <w:spacing w:before="60" w:after="60"/>
              <w:jc w:val="both"/>
              <w:rPr>
                <w:sz w:val="22"/>
                <w:szCs w:val="22"/>
              </w:rPr>
            </w:pPr>
            <w:r w:rsidRPr="00AE261D">
              <w:rPr>
                <w:sz w:val="22"/>
                <w:szCs w:val="22"/>
              </w:rPr>
              <w:t>Khu đất Khu đô thị - thương mại - dịch vụ hỗn hợp Khu chuyển đổi công năng KCN Biên Hòa 1 phần còn lại khoảng 235,48</w:t>
            </w:r>
            <w:r w:rsidR="00CA7EA4" w:rsidRPr="00AE261D">
              <w:rPr>
                <w:sz w:val="22"/>
                <w:szCs w:val="22"/>
              </w:rPr>
              <w:t xml:space="preserve"> </w:t>
            </w:r>
            <w:r w:rsidRPr="00AE261D">
              <w:rPr>
                <w:sz w:val="22"/>
                <w:szCs w:val="22"/>
              </w:rPr>
              <w:t>ha (không bao gồm: 40ha quy hoạch Khu hành chính tỉnh) tại phường Trấn Biên</w:t>
            </w:r>
          </w:p>
        </w:tc>
        <w:tc>
          <w:tcPr>
            <w:tcW w:w="947" w:type="dxa"/>
            <w:vMerge w:val="restart"/>
            <w:shd w:val="clear" w:color="auto" w:fill="auto"/>
            <w:vAlign w:val="center"/>
            <w:hideMark/>
          </w:tcPr>
          <w:p w14:paraId="20C4E381" w14:textId="77777777" w:rsidR="000C35B1" w:rsidRPr="00AE261D" w:rsidRDefault="000C35B1" w:rsidP="00DF3719">
            <w:pPr>
              <w:spacing w:before="60" w:after="60"/>
              <w:jc w:val="center"/>
              <w:rPr>
                <w:sz w:val="22"/>
                <w:szCs w:val="22"/>
              </w:rPr>
            </w:pPr>
            <w:r w:rsidRPr="00AE261D">
              <w:rPr>
                <w:sz w:val="22"/>
                <w:szCs w:val="22"/>
              </w:rPr>
              <w:t>Trấn Biên</w:t>
            </w:r>
          </w:p>
        </w:tc>
        <w:tc>
          <w:tcPr>
            <w:tcW w:w="829" w:type="dxa"/>
            <w:vMerge w:val="restart"/>
            <w:shd w:val="clear" w:color="auto" w:fill="auto"/>
            <w:vAlign w:val="center"/>
            <w:hideMark/>
          </w:tcPr>
          <w:p w14:paraId="3C589405" w14:textId="77777777" w:rsidR="000C35B1" w:rsidRPr="00AE261D" w:rsidRDefault="000C35B1" w:rsidP="00DF3719">
            <w:pPr>
              <w:spacing w:before="60" w:after="60"/>
              <w:jc w:val="center"/>
              <w:rPr>
                <w:sz w:val="22"/>
                <w:szCs w:val="22"/>
              </w:rPr>
            </w:pPr>
          </w:p>
        </w:tc>
        <w:tc>
          <w:tcPr>
            <w:tcW w:w="840" w:type="dxa"/>
            <w:vMerge w:val="restart"/>
            <w:shd w:val="clear" w:color="auto" w:fill="auto"/>
            <w:vAlign w:val="center"/>
            <w:hideMark/>
          </w:tcPr>
          <w:p w14:paraId="2D335A96" w14:textId="77777777" w:rsidR="000C35B1" w:rsidRPr="00AE261D" w:rsidRDefault="000C35B1" w:rsidP="00DF3719">
            <w:pPr>
              <w:spacing w:before="60" w:after="60"/>
              <w:jc w:val="center"/>
              <w:rPr>
                <w:sz w:val="22"/>
                <w:szCs w:val="22"/>
              </w:rPr>
            </w:pPr>
          </w:p>
        </w:tc>
        <w:tc>
          <w:tcPr>
            <w:tcW w:w="1030" w:type="dxa"/>
            <w:vMerge w:val="restart"/>
            <w:shd w:val="clear" w:color="auto" w:fill="auto"/>
            <w:vAlign w:val="center"/>
            <w:hideMark/>
          </w:tcPr>
          <w:p w14:paraId="2626ED02" w14:textId="77777777" w:rsidR="000C35B1" w:rsidRPr="00AE261D" w:rsidRDefault="000C35B1" w:rsidP="00DF3719">
            <w:pPr>
              <w:spacing w:before="60" w:after="60"/>
              <w:jc w:val="center"/>
              <w:rPr>
                <w:sz w:val="22"/>
                <w:szCs w:val="22"/>
              </w:rPr>
            </w:pPr>
            <w:r w:rsidRPr="00AE261D">
              <w:rPr>
                <w:sz w:val="22"/>
                <w:szCs w:val="22"/>
              </w:rPr>
              <w:t>235,48</w:t>
            </w:r>
          </w:p>
        </w:tc>
        <w:tc>
          <w:tcPr>
            <w:tcW w:w="900" w:type="dxa"/>
            <w:vMerge w:val="restart"/>
            <w:shd w:val="clear" w:color="auto" w:fill="auto"/>
            <w:vAlign w:val="center"/>
            <w:hideMark/>
          </w:tcPr>
          <w:p w14:paraId="3E5F2843" w14:textId="77777777" w:rsidR="000C35B1" w:rsidRPr="00AE261D" w:rsidRDefault="000C35B1" w:rsidP="00DF3719">
            <w:pPr>
              <w:spacing w:before="60" w:after="60"/>
              <w:jc w:val="center"/>
              <w:rPr>
                <w:sz w:val="22"/>
                <w:szCs w:val="22"/>
              </w:rPr>
            </w:pPr>
            <w:r w:rsidRPr="00AE261D">
              <w:rPr>
                <w:sz w:val="22"/>
                <w:szCs w:val="22"/>
              </w:rPr>
              <w:t>ODT</w:t>
            </w:r>
          </w:p>
        </w:tc>
        <w:tc>
          <w:tcPr>
            <w:tcW w:w="1878" w:type="dxa"/>
            <w:vMerge w:val="restart"/>
            <w:shd w:val="clear" w:color="auto" w:fill="auto"/>
            <w:vAlign w:val="center"/>
            <w:hideMark/>
          </w:tcPr>
          <w:p w14:paraId="63987791" w14:textId="77777777" w:rsidR="000C35B1" w:rsidRPr="00AE261D" w:rsidRDefault="000C35B1" w:rsidP="00DF3719">
            <w:pPr>
              <w:spacing w:before="60" w:after="60"/>
              <w:jc w:val="center"/>
              <w:rPr>
                <w:sz w:val="22"/>
                <w:szCs w:val="22"/>
              </w:rPr>
            </w:pPr>
            <w:r w:rsidRPr="00AE261D">
              <w:rPr>
                <w:sz w:val="22"/>
                <w:szCs w:val="22"/>
              </w:rPr>
              <w:t>12.703,46</w:t>
            </w:r>
          </w:p>
        </w:tc>
        <w:tc>
          <w:tcPr>
            <w:tcW w:w="1086" w:type="dxa"/>
            <w:vMerge w:val="restart"/>
            <w:shd w:val="clear" w:color="auto" w:fill="auto"/>
            <w:vAlign w:val="center"/>
            <w:hideMark/>
          </w:tcPr>
          <w:p w14:paraId="6B2FDEB9" w14:textId="77777777" w:rsidR="000C35B1" w:rsidRPr="00AE261D" w:rsidRDefault="000C35B1" w:rsidP="00DF3719">
            <w:pPr>
              <w:spacing w:before="60" w:after="60"/>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26805260" w14:textId="77777777" w:rsidR="000C35B1" w:rsidRPr="00AE261D" w:rsidRDefault="000C35B1" w:rsidP="00DF3719">
            <w:pPr>
              <w:spacing w:before="60" w:after="60"/>
              <w:jc w:val="center"/>
              <w:rPr>
                <w:sz w:val="22"/>
                <w:szCs w:val="22"/>
              </w:rPr>
            </w:pPr>
            <w:r w:rsidRPr="00AE261D">
              <w:rPr>
                <w:sz w:val="22"/>
                <w:szCs w:val="22"/>
              </w:rPr>
              <w:t>50.000.000</w:t>
            </w:r>
          </w:p>
        </w:tc>
        <w:tc>
          <w:tcPr>
            <w:tcW w:w="2190" w:type="dxa"/>
            <w:shd w:val="clear" w:color="auto" w:fill="auto"/>
            <w:vAlign w:val="center"/>
            <w:hideMark/>
          </w:tcPr>
          <w:p w14:paraId="23E4E765" w14:textId="77777777" w:rsidR="000C35B1" w:rsidRPr="00AE261D" w:rsidRDefault="000C35B1" w:rsidP="00DF3719">
            <w:pPr>
              <w:spacing w:before="60" w:after="60"/>
              <w:jc w:val="center"/>
              <w:rPr>
                <w:sz w:val="22"/>
                <w:szCs w:val="22"/>
              </w:rPr>
            </w:pPr>
            <w:r w:rsidRPr="00AE261D">
              <w:rPr>
                <w:sz w:val="22"/>
                <w:szCs w:val="22"/>
              </w:rPr>
              <w:t>41.209,00</w:t>
            </w:r>
          </w:p>
        </w:tc>
        <w:tc>
          <w:tcPr>
            <w:tcW w:w="684" w:type="dxa"/>
            <w:vMerge w:val="restart"/>
            <w:shd w:val="clear" w:color="auto" w:fill="auto"/>
            <w:vAlign w:val="center"/>
            <w:hideMark/>
          </w:tcPr>
          <w:p w14:paraId="1F8DE236" w14:textId="77777777" w:rsidR="000C35B1" w:rsidRPr="00AE261D" w:rsidRDefault="000C35B1" w:rsidP="00DF3719">
            <w:pPr>
              <w:spacing w:before="60" w:after="60"/>
              <w:jc w:val="center"/>
              <w:rPr>
                <w:sz w:val="22"/>
                <w:szCs w:val="22"/>
              </w:rPr>
            </w:pPr>
          </w:p>
        </w:tc>
      </w:tr>
      <w:tr w:rsidR="00002C6B" w:rsidRPr="00AE261D" w14:paraId="6B303C4A" w14:textId="77777777" w:rsidTr="00DF3719">
        <w:trPr>
          <w:trHeight w:val="1571"/>
        </w:trPr>
        <w:tc>
          <w:tcPr>
            <w:tcW w:w="632" w:type="dxa"/>
            <w:vMerge/>
            <w:shd w:val="clear" w:color="auto" w:fill="auto"/>
            <w:vAlign w:val="center"/>
            <w:hideMark/>
          </w:tcPr>
          <w:p w14:paraId="311F606B" w14:textId="77777777" w:rsidR="000C35B1" w:rsidRPr="00AE261D" w:rsidRDefault="000C35B1" w:rsidP="00DF3719">
            <w:pPr>
              <w:spacing w:before="60" w:after="60"/>
              <w:jc w:val="center"/>
              <w:rPr>
                <w:sz w:val="22"/>
                <w:szCs w:val="22"/>
              </w:rPr>
            </w:pPr>
          </w:p>
        </w:tc>
        <w:tc>
          <w:tcPr>
            <w:tcW w:w="2504" w:type="dxa"/>
            <w:vMerge/>
            <w:shd w:val="clear" w:color="auto" w:fill="auto"/>
            <w:vAlign w:val="center"/>
            <w:hideMark/>
          </w:tcPr>
          <w:p w14:paraId="1BC2C2DD" w14:textId="77777777" w:rsidR="000C35B1" w:rsidRPr="00AE261D" w:rsidRDefault="000C35B1" w:rsidP="00DF3719">
            <w:pPr>
              <w:spacing w:before="60" w:after="60"/>
              <w:jc w:val="both"/>
              <w:rPr>
                <w:sz w:val="22"/>
                <w:szCs w:val="22"/>
              </w:rPr>
            </w:pPr>
          </w:p>
        </w:tc>
        <w:tc>
          <w:tcPr>
            <w:tcW w:w="947" w:type="dxa"/>
            <w:vMerge/>
            <w:shd w:val="clear" w:color="auto" w:fill="auto"/>
            <w:vAlign w:val="center"/>
            <w:hideMark/>
          </w:tcPr>
          <w:p w14:paraId="19BA5188" w14:textId="77777777" w:rsidR="000C35B1" w:rsidRPr="00AE261D" w:rsidRDefault="000C35B1" w:rsidP="00DF3719">
            <w:pPr>
              <w:spacing w:before="60" w:after="60"/>
              <w:jc w:val="center"/>
              <w:rPr>
                <w:sz w:val="22"/>
                <w:szCs w:val="22"/>
              </w:rPr>
            </w:pPr>
          </w:p>
        </w:tc>
        <w:tc>
          <w:tcPr>
            <w:tcW w:w="829" w:type="dxa"/>
            <w:vMerge/>
            <w:shd w:val="clear" w:color="auto" w:fill="auto"/>
            <w:vAlign w:val="center"/>
            <w:hideMark/>
          </w:tcPr>
          <w:p w14:paraId="1BD69F8E" w14:textId="77777777" w:rsidR="000C35B1" w:rsidRPr="00AE261D" w:rsidRDefault="000C35B1" w:rsidP="00DF3719">
            <w:pPr>
              <w:spacing w:before="60" w:after="60"/>
              <w:jc w:val="center"/>
              <w:rPr>
                <w:sz w:val="22"/>
                <w:szCs w:val="22"/>
              </w:rPr>
            </w:pPr>
          </w:p>
        </w:tc>
        <w:tc>
          <w:tcPr>
            <w:tcW w:w="840" w:type="dxa"/>
            <w:vMerge/>
            <w:shd w:val="clear" w:color="auto" w:fill="auto"/>
            <w:vAlign w:val="center"/>
            <w:hideMark/>
          </w:tcPr>
          <w:p w14:paraId="13B3D990" w14:textId="77777777" w:rsidR="000C35B1" w:rsidRPr="00AE261D" w:rsidRDefault="000C35B1" w:rsidP="00DF3719">
            <w:pPr>
              <w:spacing w:before="60" w:after="60"/>
              <w:jc w:val="center"/>
              <w:rPr>
                <w:sz w:val="22"/>
                <w:szCs w:val="22"/>
              </w:rPr>
            </w:pPr>
          </w:p>
        </w:tc>
        <w:tc>
          <w:tcPr>
            <w:tcW w:w="1030" w:type="dxa"/>
            <w:vMerge/>
            <w:shd w:val="clear" w:color="auto" w:fill="auto"/>
            <w:vAlign w:val="center"/>
            <w:hideMark/>
          </w:tcPr>
          <w:p w14:paraId="75AE2E05" w14:textId="77777777" w:rsidR="000C35B1" w:rsidRPr="00AE261D" w:rsidRDefault="000C35B1" w:rsidP="00DF3719">
            <w:pPr>
              <w:spacing w:before="60" w:after="60"/>
              <w:jc w:val="center"/>
              <w:rPr>
                <w:sz w:val="22"/>
                <w:szCs w:val="22"/>
              </w:rPr>
            </w:pPr>
          </w:p>
        </w:tc>
        <w:tc>
          <w:tcPr>
            <w:tcW w:w="900" w:type="dxa"/>
            <w:vMerge/>
            <w:shd w:val="clear" w:color="auto" w:fill="auto"/>
            <w:vAlign w:val="center"/>
            <w:hideMark/>
          </w:tcPr>
          <w:p w14:paraId="36286550" w14:textId="77777777" w:rsidR="000C35B1" w:rsidRPr="00AE261D" w:rsidRDefault="000C35B1" w:rsidP="00DF3719">
            <w:pPr>
              <w:spacing w:before="60" w:after="60"/>
              <w:jc w:val="center"/>
              <w:rPr>
                <w:sz w:val="22"/>
                <w:szCs w:val="22"/>
              </w:rPr>
            </w:pPr>
          </w:p>
        </w:tc>
        <w:tc>
          <w:tcPr>
            <w:tcW w:w="1878" w:type="dxa"/>
            <w:vMerge/>
            <w:shd w:val="clear" w:color="auto" w:fill="auto"/>
            <w:vAlign w:val="center"/>
            <w:hideMark/>
          </w:tcPr>
          <w:p w14:paraId="46C36C54" w14:textId="77777777" w:rsidR="000C35B1" w:rsidRPr="00AE261D" w:rsidRDefault="000C35B1" w:rsidP="00DF3719">
            <w:pPr>
              <w:spacing w:before="60" w:after="60"/>
              <w:jc w:val="center"/>
              <w:rPr>
                <w:sz w:val="22"/>
                <w:szCs w:val="22"/>
              </w:rPr>
            </w:pPr>
          </w:p>
        </w:tc>
        <w:tc>
          <w:tcPr>
            <w:tcW w:w="1086" w:type="dxa"/>
            <w:vMerge/>
            <w:shd w:val="clear" w:color="auto" w:fill="auto"/>
            <w:vAlign w:val="center"/>
            <w:hideMark/>
          </w:tcPr>
          <w:p w14:paraId="521FAA2E" w14:textId="77777777" w:rsidR="000C35B1" w:rsidRPr="00AE261D" w:rsidRDefault="000C35B1" w:rsidP="00DF3719">
            <w:pPr>
              <w:spacing w:before="60" w:after="60"/>
              <w:jc w:val="center"/>
              <w:rPr>
                <w:sz w:val="22"/>
                <w:szCs w:val="22"/>
              </w:rPr>
            </w:pPr>
          </w:p>
        </w:tc>
        <w:tc>
          <w:tcPr>
            <w:tcW w:w="1316" w:type="dxa"/>
            <w:vMerge/>
            <w:shd w:val="clear" w:color="auto" w:fill="auto"/>
            <w:vAlign w:val="center"/>
            <w:hideMark/>
          </w:tcPr>
          <w:p w14:paraId="23D0947C" w14:textId="77777777" w:rsidR="000C35B1" w:rsidRPr="00AE261D" w:rsidRDefault="000C35B1" w:rsidP="00DF3719">
            <w:pPr>
              <w:spacing w:before="60" w:after="60"/>
              <w:jc w:val="center"/>
              <w:rPr>
                <w:sz w:val="22"/>
                <w:szCs w:val="22"/>
              </w:rPr>
            </w:pPr>
          </w:p>
        </w:tc>
        <w:tc>
          <w:tcPr>
            <w:tcW w:w="2190" w:type="dxa"/>
            <w:shd w:val="clear" w:color="auto" w:fill="auto"/>
            <w:vAlign w:val="center"/>
            <w:hideMark/>
          </w:tcPr>
          <w:p w14:paraId="13DD107F" w14:textId="77777777" w:rsidR="000C35B1" w:rsidRPr="00AE261D" w:rsidRDefault="000C35B1" w:rsidP="00DF3719">
            <w:pPr>
              <w:spacing w:before="60" w:after="60"/>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22CE9B80" w14:textId="77777777" w:rsidR="000C35B1" w:rsidRPr="00AE261D" w:rsidRDefault="000C35B1" w:rsidP="00DF3719">
            <w:pPr>
              <w:spacing w:before="60" w:after="60"/>
              <w:jc w:val="center"/>
              <w:rPr>
                <w:sz w:val="22"/>
                <w:szCs w:val="22"/>
              </w:rPr>
            </w:pPr>
          </w:p>
        </w:tc>
      </w:tr>
      <w:tr w:rsidR="00002C6B" w:rsidRPr="00AE261D" w14:paraId="4C465077" w14:textId="77777777" w:rsidTr="00DF3719">
        <w:trPr>
          <w:trHeight w:val="686"/>
        </w:trPr>
        <w:tc>
          <w:tcPr>
            <w:tcW w:w="632" w:type="dxa"/>
            <w:vMerge w:val="restart"/>
            <w:shd w:val="clear" w:color="auto" w:fill="auto"/>
            <w:vAlign w:val="center"/>
            <w:hideMark/>
          </w:tcPr>
          <w:p w14:paraId="3485C4F7" w14:textId="77777777" w:rsidR="000C35B1" w:rsidRPr="00AE261D" w:rsidRDefault="000C35B1" w:rsidP="00DF3719">
            <w:pPr>
              <w:spacing w:before="60" w:after="60"/>
              <w:jc w:val="center"/>
              <w:rPr>
                <w:sz w:val="22"/>
                <w:szCs w:val="22"/>
              </w:rPr>
            </w:pPr>
            <w:r w:rsidRPr="00AE261D">
              <w:rPr>
                <w:sz w:val="22"/>
                <w:szCs w:val="22"/>
              </w:rPr>
              <w:t>3</w:t>
            </w:r>
          </w:p>
        </w:tc>
        <w:tc>
          <w:tcPr>
            <w:tcW w:w="2504" w:type="dxa"/>
            <w:vMerge w:val="restart"/>
            <w:shd w:val="clear" w:color="auto" w:fill="auto"/>
            <w:vAlign w:val="center"/>
            <w:hideMark/>
          </w:tcPr>
          <w:p w14:paraId="0AE208BB" w14:textId="57EA48F8" w:rsidR="000C35B1" w:rsidRPr="00AE261D" w:rsidRDefault="000C35B1" w:rsidP="00DF3719">
            <w:pPr>
              <w:spacing w:before="60" w:after="60"/>
              <w:jc w:val="both"/>
              <w:rPr>
                <w:sz w:val="22"/>
                <w:szCs w:val="22"/>
              </w:rPr>
            </w:pPr>
            <w:r w:rsidRPr="00AE261D">
              <w:rPr>
                <w:sz w:val="22"/>
                <w:szCs w:val="22"/>
              </w:rPr>
              <w:t>Khu đất 1,98</w:t>
            </w:r>
            <w:r w:rsidR="00CA7EA4" w:rsidRPr="00AE261D">
              <w:rPr>
                <w:sz w:val="22"/>
                <w:szCs w:val="22"/>
              </w:rPr>
              <w:t xml:space="preserve"> ha d</w:t>
            </w:r>
            <w:r w:rsidRPr="00AE261D">
              <w:rPr>
                <w:sz w:val="22"/>
                <w:szCs w:val="22"/>
              </w:rPr>
              <w:t xml:space="preserve">ự án Khu nhà ở phức hợp cao tầng ven sông phường Trấn Biên </w:t>
            </w:r>
          </w:p>
        </w:tc>
        <w:tc>
          <w:tcPr>
            <w:tcW w:w="947" w:type="dxa"/>
            <w:vMerge w:val="restart"/>
            <w:shd w:val="clear" w:color="auto" w:fill="auto"/>
            <w:vAlign w:val="center"/>
            <w:hideMark/>
          </w:tcPr>
          <w:p w14:paraId="1C75AEF9" w14:textId="77777777" w:rsidR="000C35B1" w:rsidRPr="00AE261D" w:rsidRDefault="000C35B1" w:rsidP="00DF3719">
            <w:pPr>
              <w:spacing w:before="60" w:after="60"/>
              <w:jc w:val="center"/>
              <w:rPr>
                <w:sz w:val="22"/>
                <w:szCs w:val="22"/>
              </w:rPr>
            </w:pPr>
            <w:r w:rsidRPr="00AE261D">
              <w:rPr>
                <w:sz w:val="22"/>
                <w:szCs w:val="22"/>
              </w:rPr>
              <w:t>Trấn Biên</w:t>
            </w:r>
          </w:p>
        </w:tc>
        <w:tc>
          <w:tcPr>
            <w:tcW w:w="829" w:type="dxa"/>
            <w:vMerge w:val="restart"/>
            <w:shd w:val="clear" w:color="auto" w:fill="auto"/>
            <w:vAlign w:val="center"/>
            <w:hideMark/>
          </w:tcPr>
          <w:p w14:paraId="69C65368" w14:textId="77777777" w:rsidR="000C35B1" w:rsidRPr="00AE261D" w:rsidRDefault="000C35B1" w:rsidP="00DF3719">
            <w:pPr>
              <w:spacing w:before="60" w:after="60"/>
              <w:jc w:val="center"/>
              <w:rPr>
                <w:sz w:val="22"/>
                <w:szCs w:val="22"/>
              </w:rPr>
            </w:pPr>
          </w:p>
        </w:tc>
        <w:tc>
          <w:tcPr>
            <w:tcW w:w="840" w:type="dxa"/>
            <w:vMerge w:val="restart"/>
            <w:shd w:val="clear" w:color="auto" w:fill="auto"/>
            <w:vAlign w:val="center"/>
            <w:hideMark/>
          </w:tcPr>
          <w:p w14:paraId="787AAB86" w14:textId="77777777" w:rsidR="000C35B1" w:rsidRPr="00AE261D" w:rsidRDefault="000C35B1" w:rsidP="00DF3719">
            <w:pPr>
              <w:spacing w:before="60" w:after="60"/>
              <w:jc w:val="center"/>
              <w:rPr>
                <w:sz w:val="22"/>
                <w:szCs w:val="22"/>
              </w:rPr>
            </w:pPr>
          </w:p>
        </w:tc>
        <w:tc>
          <w:tcPr>
            <w:tcW w:w="1030" w:type="dxa"/>
            <w:vMerge w:val="restart"/>
            <w:shd w:val="clear" w:color="auto" w:fill="auto"/>
            <w:vAlign w:val="center"/>
            <w:hideMark/>
          </w:tcPr>
          <w:p w14:paraId="15131F5B" w14:textId="77777777" w:rsidR="000C35B1" w:rsidRPr="00AE261D" w:rsidRDefault="000C35B1" w:rsidP="00DF3719">
            <w:pPr>
              <w:spacing w:before="60" w:after="60"/>
              <w:jc w:val="center"/>
              <w:rPr>
                <w:sz w:val="22"/>
                <w:szCs w:val="22"/>
              </w:rPr>
            </w:pPr>
            <w:r w:rsidRPr="00AE261D">
              <w:rPr>
                <w:sz w:val="22"/>
                <w:szCs w:val="22"/>
              </w:rPr>
              <w:t>1,98</w:t>
            </w:r>
          </w:p>
        </w:tc>
        <w:tc>
          <w:tcPr>
            <w:tcW w:w="900" w:type="dxa"/>
            <w:vMerge w:val="restart"/>
            <w:shd w:val="clear" w:color="auto" w:fill="auto"/>
            <w:vAlign w:val="center"/>
            <w:hideMark/>
          </w:tcPr>
          <w:p w14:paraId="19A69A49" w14:textId="77777777" w:rsidR="000C35B1" w:rsidRPr="00AE261D" w:rsidRDefault="000C35B1" w:rsidP="00DF3719">
            <w:pPr>
              <w:spacing w:before="60" w:after="60"/>
              <w:jc w:val="center"/>
              <w:rPr>
                <w:sz w:val="22"/>
                <w:szCs w:val="22"/>
              </w:rPr>
            </w:pPr>
            <w:r w:rsidRPr="00AE261D">
              <w:rPr>
                <w:sz w:val="22"/>
                <w:szCs w:val="22"/>
              </w:rPr>
              <w:t>ODT</w:t>
            </w:r>
          </w:p>
        </w:tc>
        <w:tc>
          <w:tcPr>
            <w:tcW w:w="1878" w:type="dxa"/>
            <w:vMerge w:val="restart"/>
            <w:shd w:val="clear" w:color="auto" w:fill="auto"/>
            <w:vAlign w:val="center"/>
            <w:hideMark/>
          </w:tcPr>
          <w:p w14:paraId="2779AD26" w14:textId="77777777" w:rsidR="000C35B1" w:rsidRPr="00AE261D" w:rsidRDefault="000C35B1" w:rsidP="00DF3719">
            <w:pPr>
              <w:spacing w:before="60" w:after="60"/>
              <w:jc w:val="center"/>
              <w:rPr>
                <w:sz w:val="22"/>
                <w:szCs w:val="22"/>
              </w:rPr>
            </w:pPr>
            <w:r w:rsidRPr="00AE261D">
              <w:rPr>
                <w:sz w:val="22"/>
                <w:szCs w:val="22"/>
              </w:rPr>
              <w:t>269,65</w:t>
            </w:r>
          </w:p>
        </w:tc>
        <w:tc>
          <w:tcPr>
            <w:tcW w:w="1086" w:type="dxa"/>
            <w:vMerge w:val="restart"/>
            <w:shd w:val="clear" w:color="auto" w:fill="auto"/>
            <w:vAlign w:val="center"/>
            <w:hideMark/>
          </w:tcPr>
          <w:p w14:paraId="01F4615A" w14:textId="77777777" w:rsidR="000C35B1" w:rsidRPr="00AE261D" w:rsidRDefault="000C35B1" w:rsidP="00DF3719">
            <w:pPr>
              <w:spacing w:before="60" w:after="60"/>
              <w:jc w:val="center"/>
              <w:rPr>
                <w:sz w:val="22"/>
                <w:szCs w:val="22"/>
              </w:rPr>
            </w:pPr>
            <w:r w:rsidRPr="00AE261D">
              <w:rPr>
                <w:sz w:val="22"/>
                <w:szCs w:val="22"/>
              </w:rPr>
              <w:t>Trong năm 2025</w:t>
            </w:r>
          </w:p>
        </w:tc>
        <w:tc>
          <w:tcPr>
            <w:tcW w:w="1316" w:type="dxa"/>
            <w:vMerge w:val="restart"/>
            <w:shd w:val="clear" w:color="auto" w:fill="auto"/>
            <w:vAlign w:val="center"/>
            <w:hideMark/>
          </w:tcPr>
          <w:p w14:paraId="1747654E" w14:textId="77777777" w:rsidR="000C35B1" w:rsidRPr="00AE261D" w:rsidRDefault="000C35B1" w:rsidP="00DF3719">
            <w:pPr>
              <w:spacing w:before="60" w:after="60"/>
              <w:jc w:val="center"/>
              <w:rPr>
                <w:sz w:val="22"/>
                <w:szCs w:val="22"/>
              </w:rPr>
            </w:pPr>
            <w:r w:rsidRPr="00AE261D">
              <w:rPr>
                <w:sz w:val="22"/>
                <w:szCs w:val="22"/>
              </w:rPr>
              <w:t>80.000.000</w:t>
            </w:r>
          </w:p>
        </w:tc>
        <w:tc>
          <w:tcPr>
            <w:tcW w:w="2190" w:type="dxa"/>
            <w:shd w:val="clear" w:color="auto" w:fill="auto"/>
            <w:vAlign w:val="center"/>
            <w:hideMark/>
          </w:tcPr>
          <w:p w14:paraId="2906303D" w14:textId="77777777" w:rsidR="000C35B1" w:rsidRPr="00AE261D" w:rsidRDefault="000C35B1" w:rsidP="00DF3719">
            <w:pPr>
              <w:spacing w:before="60" w:after="60"/>
              <w:jc w:val="center"/>
              <w:rPr>
                <w:sz w:val="22"/>
                <w:szCs w:val="22"/>
              </w:rPr>
            </w:pPr>
            <w:r w:rsidRPr="00AE261D">
              <w:rPr>
                <w:sz w:val="22"/>
                <w:szCs w:val="22"/>
              </w:rPr>
              <w:t>676,00</w:t>
            </w:r>
          </w:p>
        </w:tc>
        <w:tc>
          <w:tcPr>
            <w:tcW w:w="684" w:type="dxa"/>
            <w:vMerge w:val="restart"/>
            <w:shd w:val="clear" w:color="auto" w:fill="auto"/>
            <w:vAlign w:val="center"/>
            <w:hideMark/>
          </w:tcPr>
          <w:p w14:paraId="6D7568E7" w14:textId="77777777" w:rsidR="000C35B1" w:rsidRPr="00AE261D" w:rsidRDefault="000C35B1" w:rsidP="00DF3719">
            <w:pPr>
              <w:spacing w:before="60" w:after="60"/>
              <w:jc w:val="center"/>
              <w:rPr>
                <w:sz w:val="22"/>
                <w:szCs w:val="22"/>
              </w:rPr>
            </w:pPr>
          </w:p>
        </w:tc>
      </w:tr>
      <w:tr w:rsidR="00002C6B" w:rsidRPr="00AE261D" w14:paraId="684AC142" w14:textId="77777777" w:rsidTr="00DF3719">
        <w:trPr>
          <w:trHeight w:val="1500"/>
        </w:trPr>
        <w:tc>
          <w:tcPr>
            <w:tcW w:w="632" w:type="dxa"/>
            <w:vMerge/>
            <w:shd w:val="clear" w:color="auto" w:fill="auto"/>
            <w:vAlign w:val="center"/>
            <w:hideMark/>
          </w:tcPr>
          <w:p w14:paraId="4089CA75" w14:textId="77777777" w:rsidR="000C35B1" w:rsidRPr="00AE261D" w:rsidRDefault="000C35B1" w:rsidP="00002C6B">
            <w:pPr>
              <w:jc w:val="center"/>
              <w:rPr>
                <w:sz w:val="22"/>
                <w:szCs w:val="22"/>
              </w:rPr>
            </w:pPr>
          </w:p>
        </w:tc>
        <w:tc>
          <w:tcPr>
            <w:tcW w:w="2504" w:type="dxa"/>
            <w:vMerge/>
            <w:shd w:val="clear" w:color="auto" w:fill="auto"/>
            <w:vAlign w:val="center"/>
            <w:hideMark/>
          </w:tcPr>
          <w:p w14:paraId="0128D38F" w14:textId="77777777" w:rsidR="000C35B1" w:rsidRPr="00AE261D" w:rsidRDefault="000C35B1" w:rsidP="00002C6B">
            <w:pPr>
              <w:jc w:val="both"/>
              <w:rPr>
                <w:sz w:val="22"/>
                <w:szCs w:val="22"/>
              </w:rPr>
            </w:pPr>
          </w:p>
        </w:tc>
        <w:tc>
          <w:tcPr>
            <w:tcW w:w="947" w:type="dxa"/>
            <w:vMerge/>
            <w:shd w:val="clear" w:color="auto" w:fill="auto"/>
            <w:vAlign w:val="center"/>
            <w:hideMark/>
          </w:tcPr>
          <w:p w14:paraId="1648BB64" w14:textId="77777777" w:rsidR="000C35B1" w:rsidRPr="00AE261D" w:rsidRDefault="000C35B1" w:rsidP="00002C6B">
            <w:pPr>
              <w:jc w:val="center"/>
              <w:rPr>
                <w:sz w:val="22"/>
                <w:szCs w:val="22"/>
              </w:rPr>
            </w:pPr>
          </w:p>
        </w:tc>
        <w:tc>
          <w:tcPr>
            <w:tcW w:w="829" w:type="dxa"/>
            <w:vMerge/>
            <w:shd w:val="clear" w:color="auto" w:fill="auto"/>
            <w:vAlign w:val="center"/>
            <w:hideMark/>
          </w:tcPr>
          <w:p w14:paraId="7F49A5C5" w14:textId="77777777" w:rsidR="000C35B1" w:rsidRPr="00AE261D" w:rsidRDefault="000C35B1" w:rsidP="00002C6B">
            <w:pPr>
              <w:jc w:val="center"/>
              <w:rPr>
                <w:sz w:val="22"/>
                <w:szCs w:val="22"/>
              </w:rPr>
            </w:pPr>
          </w:p>
        </w:tc>
        <w:tc>
          <w:tcPr>
            <w:tcW w:w="840" w:type="dxa"/>
            <w:vMerge/>
            <w:shd w:val="clear" w:color="auto" w:fill="auto"/>
            <w:vAlign w:val="center"/>
            <w:hideMark/>
          </w:tcPr>
          <w:p w14:paraId="476975FB" w14:textId="77777777" w:rsidR="000C35B1" w:rsidRPr="00AE261D" w:rsidRDefault="000C35B1" w:rsidP="00002C6B">
            <w:pPr>
              <w:jc w:val="center"/>
              <w:rPr>
                <w:sz w:val="22"/>
                <w:szCs w:val="22"/>
              </w:rPr>
            </w:pPr>
          </w:p>
        </w:tc>
        <w:tc>
          <w:tcPr>
            <w:tcW w:w="1030" w:type="dxa"/>
            <w:vMerge/>
            <w:shd w:val="clear" w:color="auto" w:fill="auto"/>
            <w:vAlign w:val="center"/>
            <w:hideMark/>
          </w:tcPr>
          <w:p w14:paraId="33E006B6" w14:textId="77777777" w:rsidR="000C35B1" w:rsidRPr="00AE261D" w:rsidRDefault="000C35B1" w:rsidP="00002C6B">
            <w:pPr>
              <w:jc w:val="center"/>
              <w:rPr>
                <w:sz w:val="22"/>
                <w:szCs w:val="22"/>
              </w:rPr>
            </w:pPr>
          </w:p>
        </w:tc>
        <w:tc>
          <w:tcPr>
            <w:tcW w:w="900" w:type="dxa"/>
            <w:vMerge/>
            <w:shd w:val="clear" w:color="auto" w:fill="auto"/>
            <w:vAlign w:val="center"/>
            <w:hideMark/>
          </w:tcPr>
          <w:p w14:paraId="346E3681" w14:textId="77777777" w:rsidR="000C35B1" w:rsidRPr="00AE261D" w:rsidRDefault="000C35B1" w:rsidP="00002C6B">
            <w:pPr>
              <w:jc w:val="center"/>
              <w:rPr>
                <w:sz w:val="22"/>
                <w:szCs w:val="22"/>
              </w:rPr>
            </w:pPr>
          </w:p>
        </w:tc>
        <w:tc>
          <w:tcPr>
            <w:tcW w:w="1878" w:type="dxa"/>
            <w:vMerge/>
            <w:shd w:val="clear" w:color="auto" w:fill="auto"/>
            <w:vAlign w:val="center"/>
            <w:hideMark/>
          </w:tcPr>
          <w:p w14:paraId="032DCA29" w14:textId="77777777" w:rsidR="000C35B1" w:rsidRPr="00AE261D" w:rsidRDefault="000C35B1" w:rsidP="00002C6B">
            <w:pPr>
              <w:jc w:val="center"/>
              <w:rPr>
                <w:sz w:val="22"/>
                <w:szCs w:val="22"/>
              </w:rPr>
            </w:pPr>
          </w:p>
        </w:tc>
        <w:tc>
          <w:tcPr>
            <w:tcW w:w="1086" w:type="dxa"/>
            <w:vMerge/>
            <w:shd w:val="clear" w:color="auto" w:fill="auto"/>
            <w:vAlign w:val="center"/>
            <w:hideMark/>
          </w:tcPr>
          <w:p w14:paraId="0EB12B76" w14:textId="77777777" w:rsidR="000C35B1" w:rsidRPr="00AE261D" w:rsidRDefault="000C35B1" w:rsidP="00002C6B">
            <w:pPr>
              <w:jc w:val="center"/>
              <w:rPr>
                <w:sz w:val="22"/>
                <w:szCs w:val="22"/>
              </w:rPr>
            </w:pPr>
          </w:p>
        </w:tc>
        <w:tc>
          <w:tcPr>
            <w:tcW w:w="1316" w:type="dxa"/>
            <w:vMerge/>
            <w:shd w:val="clear" w:color="auto" w:fill="auto"/>
            <w:vAlign w:val="center"/>
            <w:hideMark/>
          </w:tcPr>
          <w:p w14:paraId="3DDD19EC" w14:textId="77777777" w:rsidR="000C35B1" w:rsidRPr="00AE261D" w:rsidRDefault="000C35B1" w:rsidP="00002C6B">
            <w:pPr>
              <w:jc w:val="center"/>
              <w:rPr>
                <w:sz w:val="22"/>
                <w:szCs w:val="22"/>
              </w:rPr>
            </w:pPr>
          </w:p>
        </w:tc>
        <w:tc>
          <w:tcPr>
            <w:tcW w:w="2190" w:type="dxa"/>
            <w:shd w:val="clear" w:color="auto" w:fill="auto"/>
            <w:vAlign w:val="center"/>
            <w:hideMark/>
          </w:tcPr>
          <w:p w14:paraId="66384B39" w14:textId="77777777" w:rsidR="000C35B1" w:rsidRPr="00AE261D" w:rsidRDefault="000C35B1" w:rsidP="00002C6B">
            <w:pPr>
              <w:jc w:val="both"/>
              <w:rPr>
                <w:sz w:val="22"/>
                <w:szCs w:val="22"/>
              </w:rPr>
            </w:pPr>
            <w:r w:rsidRPr="00AE261D">
              <w:rPr>
                <w:sz w:val="22"/>
                <w:szCs w:val="22"/>
              </w:rPr>
              <w:t>Thông báo đấu giá tài sản số 170/TB-ĐGTS của Trung tâm dịch vụ Đấu giá tài sản tỉnh Đồng Nai ngày 14/11/2025</w:t>
            </w:r>
          </w:p>
        </w:tc>
        <w:tc>
          <w:tcPr>
            <w:tcW w:w="684" w:type="dxa"/>
            <w:vMerge/>
            <w:shd w:val="clear" w:color="auto" w:fill="auto"/>
            <w:vAlign w:val="center"/>
            <w:hideMark/>
          </w:tcPr>
          <w:p w14:paraId="18AAB768" w14:textId="77777777" w:rsidR="000C35B1" w:rsidRPr="00AE261D" w:rsidRDefault="000C35B1" w:rsidP="00002C6B">
            <w:pPr>
              <w:jc w:val="center"/>
              <w:rPr>
                <w:sz w:val="22"/>
                <w:szCs w:val="22"/>
              </w:rPr>
            </w:pPr>
          </w:p>
        </w:tc>
      </w:tr>
      <w:tr w:rsidR="00002C6B" w:rsidRPr="00AE261D" w14:paraId="4571DACF" w14:textId="77777777" w:rsidTr="00DF3719">
        <w:trPr>
          <w:trHeight w:val="719"/>
        </w:trPr>
        <w:tc>
          <w:tcPr>
            <w:tcW w:w="632" w:type="dxa"/>
            <w:vMerge w:val="restart"/>
            <w:shd w:val="clear" w:color="auto" w:fill="auto"/>
            <w:vAlign w:val="center"/>
            <w:hideMark/>
          </w:tcPr>
          <w:p w14:paraId="16E4EED3" w14:textId="77777777" w:rsidR="000C35B1" w:rsidRPr="00AE261D" w:rsidRDefault="000C35B1" w:rsidP="00C20CC4">
            <w:pPr>
              <w:spacing w:before="60" w:after="60"/>
              <w:jc w:val="center"/>
              <w:rPr>
                <w:sz w:val="22"/>
                <w:szCs w:val="22"/>
              </w:rPr>
            </w:pPr>
            <w:r w:rsidRPr="00AE261D">
              <w:rPr>
                <w:sz w:val="22"/>
                <w:szCs w:val="22"/>
              </w:rPr>
              <w:lastRenderedPageBreak/>
              <w:t>4</w:t>
            </w:r>
          </w:p>
        </w:tc>
        <w:tc>
          <w:tcPr>
            <w:tcW w:w="2504" w:type="dxa"/>
            <w:vMerge w:val="restart"/>
            <w:shd w:val="clear" w:color="auto" w:fill="auto"/>
            <w:vAlign w:val="center"/>
            <w:hideMark/>
          </w:tcPr>
          <w:p w14:paraId="67AAD311" w14:textId="77777777" w:rsidR="000C35B1" w:rsidRPr="00AE261D" w:rsidRDefault="000C35B1" w:rsidP="00C20CC4">
            <w:pPr>
              <w:spacing w:before="60" w:after="60"/>
              <w:jc w:val="both"/>
              <w:rPr>
                <w:sz w:val="22"/>
                <w:szCs w:val="22"/>
              </w:rPr>
            </w:pPr>
            <w:r w:rsidRPr="00AE261D">
              <w:rPr>
                <w:sz w:val="22"/>
                <w:szCs w:val="22"/>
              </w:rPr>
              <w:t>Khu đất khoảng 13,2 ha tại phường Trấn Biên</w:t>
            </w:r>
          </w:p>
        </w:tc>
        <w:tc>
          <w:tcPr>
            <w:tcW w:w="947" w:type="dxa"/>
            <w:vMerge w:val="restart"/>
            <w:shd w:val="clear" w:color="auto" w:fill="auto"/>
            <w:vAlign w:val="center"/>
            <w:hideMark/>
          </w:tcPr>
          <w:p w14:paraId="1F7018C8" w14:textId="77777777" w:rsidR="000C35B1" w:rsidRPr="00AE261D" w:rsidRDefault="000C35B1" w:rsidP="00C20CC4">
            <w:pPr>
              <w:spacing w:before="60" w:after="60"/>
              <w:jc w:val="center"/>
              <w:rPr>
                <w:sz w:val="22"/>
                <w:szCs w:val="22"/>
              </w:rPr>
            </w:pPr>
            <w:r w:rsidRPr="00AE261D">
              <w:rPr>
                <w:sz w:val="22"/>
                <w:szCs w:val="22"/>
              </w:rPr>
              <w:t>Trấn Biên</w:t>
            </w:r>
          </w:p>
        </w:tc>
        <w:tc>
          <w:tcPr>
            <w:tcW w:w="829" w:type="dxa"/>
            <w:vMerge w:val="restart"/>
            <w:shd w:val="clear" w:color="auto" w:fill="auto"/>
            <w:vAlign w:val="center"/>
            <w:hideMark/>
          </w:tcPr>
          <w:p w14:paraId="2A736FD3" w14:textId="77777777" w:rsidR="000C35B1" w:rsidRPr="00AE261D" w:rsidRDefault="000C35B1" w:rsidP="00C20CC4">
            <w:pPr>
              <w:spacing w:before="60" w:after="60"/>
              <w:jc w:val="center"/>
              <w:rPr>
                <w:sz w:val="22"/>
                <w:szCs w:val="22"/>
              </w:rPr>
            </w:pPr>
          </w:p>
        </w:tc>
        <w:tc>
          <w:tcPr>
            <w:tcW w:w="840" w:type="dxa"/>
            <w:vMerge w:val="restart"/>
            <w:shd w:val="clear" w:color="auto" w:fill="auto"/>
            <w:vAlign w:val="center"/>
            <w:hideMark/>
          </w:tcPr>
          <w:p w14:paraId="2995A9DA" w14:textId="77777777" w:rsidR="000C35B1" w:rsidRPr="00AE261D" w:rsidRDefault="000C35B1" w:rsidP="00C20CC4">
            <w:pPr>
              <w:spacing w:before="60" w:after="60"/>
              <w:jc w:val="center"/>
              <w:rPr>
                <w:sz w:val="22"/>
                <w:szCs w:val="22"/>
              </w:rPr>
            </w:pPr>
          </w:p>
        </w:tc>
        <w:tc>
          <w:tcPr>
            <w:tcW w:w="1030" w:type="dxa"/>
            <w:vMerge w:val="restart"/>
            <w:shd w:val="clear" w:color="auto" w:fill="auto"/>
            <w:vAlign w:val="center"/>
            <w:hideMark/>
          </w:tcPr>
          <w:p w14:paraId="6DA1CC83" w14:textId="77777777" w:rsidR="000C35B1" w:rsidRPr="00AE261D" w:rsidRDefault="000C35B1" w:rsidP="00C20CC4">
            <w:pPr>
              <w:spacing w:before="60" w:after="60"/>
              <w:jc w:val="center"/>
              <w:rPr>
                <w:sz w:val="22"/>
                <w:szCs w:val="22"/>
              </w:rPr>
            </w:pPr>
            <w:r w:rsidRPr="00AE261D">
              <w:rPr>
                <w:sz w:val="22"/>
                <w:szCs w:val="22"/>
              </w:rPr>
              <w:t>13,17</w:t>
            </w:r>
          </w:p>
        </w:tc>
        <w:tc>
          <w:tcPr>
            <w:tcW w:w="900" w:type="dxa"/>
            <w:vMerge w:val="restart"/>
            <w:shd w:val="clear" w:color="auto" w:fill="auto"/>
            <w:vAlign w:val="center"/>
            <w:hideMark/>
          </w:tcPr>
          <w:p w14:paraId="732F9FE5" w14:textId="77777777" w:rsidR="000C35B1" w:rsidRPr="00AE261D" w:rsidRDefault="000C35B1" w:rsidP="00C20CC4">
            <w:pPr>
              <w:spacing w:before="60" w:after="60"/>
              <w:jc w:val="center"/>
              <w:rPr>
                <w:sz w:val="22"/>
                <w:szCs w:val="22"/>
              </w:rPr>
            </w:pPr>
            <w:r w:rsidRPr="00AE261D">
              <w:rPr>
                <w:sz w:val="22"/>
                <w:szCs w:val="22"/>
              </w:rPr>
              <w:t>ODT</w:t>
            </w:r>
          </w:p>
        </w:tc>
        <w:tc>
          <w:tcPr>
            <w:tcW w:w="1878" w:type="dxa"/>
            <w:vMerge w:val="restart"/>
            <w:shd w:val="clear" w:color="auto" w:fill="auto"/>
            <w:vAlign w:val="center"/>
            <w:hideMark/>
          </w:tcPr>
          <w:p w14:paraId="0515FA06" w14:textId="77777777" w:rsidR="000C35B1" w:rsidRPr="00AE261D" w:rsidRDefault="000C35B1" w:rsidP="00C20CC4">
            <w:pPr>
              <w:spacing w:before="60" w:after="60"/>
              <w:jc w:val="center"/>
              <w:rPr>
                <w:sz w:val="22"/>
                <w:szCs w:val="22"/>
              </w:rPr>
            </w:pPr>
            <w:r w:rsidRPr="00AE261D">
              <w:rPr>
                <w:sz w:val="22"/>
                <w:szCs w:val="22"/>
              </w:rPr>
              <w:t>1.039,76</w:t>
            </w:r>
          </w:p>
        </w:tc>
        <w:tc>
          <w:tcPr>
            <w:tcW w:w="1086" w:type="dxa"/>
            <w:vMerge w:val="restart"/>
            <w:shd w:val="clear" w:color="auto" w:fill="auto"/>
            <w:vAlign w:val="center"/>
            <w:hideMark/>
          </w:tcPr>
          <w:p w14:paraId="372565F6" w14:textId="77777777" w:rsidR="000C35B1" w:rsidRPr="00AE261D" w:rsidRDefault="000C35B1" w:rsidP="00C20CC4">
            <w:pPr>
              <w:spacing w:before="60" w:after="60"/>
              <w:jc w:val="center"/>
              <w:rPr>
                <w:sz w:val="22"/>
                <w:szCs w:val="22"/>
              </w:rPr>
            </w:pPr>
            <w:r w:rsidRPr="00AE261D">
              <w:rPr>
                <w:sz w:val="22"/>
                <w:szCs w:val="22"/>
              </w:rPr>
              <w:t>Trong năm 2025</w:t>
            </w:r>
          </w:p>
        </w:tc>
        <w:tc>
          <w:tcPr>
            <w:tcW w:w="1316" w:type="dxa"/>
            <w:vMerge w:val="restart"/>
            <w:shd w:val="clear" w:color="auto" w:fill="auto"/>
            <w:vAlign w:val="center"/>
            <w:hideMark/>
          </w:tcPr>
          <w:p w14:paraId="30C56788" w14:textId="77777777" w:rsidR="000C35B1" w:rsidRPr="00AE261D" w:rsidRDefault="000C35B1" w:rsidP="00C20CC4">
            <w:pPr>
              <w:spacing w:before="60" w:after="60"/>
              <w:jc w:val="center"/>
              <w:rPr>
                <w:sz w:val="22"/>
                <w:szCs w:val="22"/>
              </w:rPr>
            </w:pPr>
            <w:r w:rsidRPr="00AE261D">
              <w:rPr>
                <w:sz w:val="22"/>
                <w:szCs w:val="22"/>
              </w:rPr>
              <w:t>75.000.000</w:t>
            </w:r>
          </w:p>
        </w:tc>
        <w:tc>
          <w:tcPr>
            <w:tcW w:w="2190" w:type="dxa"/>
            <w:shd w:val="clear" w:color="auto" w:fill="auto"/>
            <w:vAlign w:val="center"/>
            <w:hideMark/>
          </w:tcPr>
          <w:p w14:paraId="2021AC18" w14:textId="77777777" w:rsidR="000C35B1" w:rsidRPr="00AE261D" w:rsidRDefault="000C35B1" w:rsidP="00C20CC4">
            <w:pPr>
              <w:spacing w:before="60" w:after="60"/>
              <w:jc w:val="center"/>
              <w:rPr>
                <w:sz w:val="22"/>
                <w:szCs w:val="22"/>
              </w:rPr>
            </w:pPr>
            <w:r w:rsidRPr="00AE261D">
              <w:rPr>
                <w:sz w:val="22"/>
                <w:szCs w:val="22"/>
              </w:rPr>
              <w:t>3.457,13</w:t>
            </w:r>
          </w:p>
        </w:tc>
        <w:tc>
          <w:tcPr>
            <w:tcW w:w="684" w:type="dxa"/>
            <w:vMerge w:val="restart"/>
            <w:shd w:val="clear" w:color="auto" w:fill="auto"/>
            <w:vAlign w:val="center"/>
            <w:hideMark/>
          </w:tcPr>
          <w:p w14:paraId="46D3C679" w14:textId="77777777" w:rsidR="000C35B1" w:rsidRPr="00AE261D" w:rsidRDefault="000C35B1" w:rsidP="00C20CC4">
            <w:pPr>
              <w:spacing w:before="60" w:after="60"/>
              <w:jc w:val="center"/>
              <w:rPr>
                <w:sz w:val="22"/>
                <w:szCs w:val="22"/>
              </w:rPr>
            </w:pPr>
          </w:p>
        </w:tc>
      </w:tr>
      <w:tr w:rsidR="00002C6B" w:rsidRPr="00AE261D" w14:paraId="40008779" w14:textId="77777777" w:rsidTr="00DF3719">
        <w:trPr>
          <w:trHeight w:val="1821"/>
        </w:trPr>
        <w:tc>
          <w:tcPr>
            <w:tcW w:w="632" w:type="dxa"/>
            <w:vMerge/>
            <w:shd w:val="clear" w:color="auto" w:fill="auto"/>
            <w:vAlign w:val="center"/>
            <w:hideMark/>
          </w:tcPr>
          <w:p w14:paraId="3BE422A6" w14:textId="77777777" w:rsidR="000C35B1" w:rsidRPr="00AE261D" w:rsidRDefault="000C35B1" w:rsidP="00C20CC4">
            <w:pPr>
              <w:spacing w:before="60" w:after="60"/>
              <w:jc w:val="center"/>
              <w:rPr>
                <w:sz w:val="22"/>
                <w:szCs w:val="22"/>
              </w:rPr>
            </w:pPr>
          </w:p>
        </w:tc>
        <w:tc>
          <w:tcPr>
            <w:tcW w:w="2504" w:type="dxa"/>
            <w:vMerge/>
            <w:shd w:val="clear" w:color="auto" w:fill="auto"/>
            <w:vAlign w:val="center"/>
            <w:hideMark/>
          </w:tcPr>
          <w:p w14:paraId="3A11FFEA" w14:textId="77777777" w:rsidR="000C35B1" w:rsidRPr="00AE261D" w:rsidRDefault="000C35B1" w:rsidP="00C20CC4">
            <w:pPr>
              <w:spacing w:before="60" w:after="60"/>
              <w:jc w:val="both"/>
              <w:rPr>
                <w:sz w:val="22"/>
                <w:szCs w:val="22"/>
              </w:rPr>
            </w:pPr>
          </w:p>
        </w:tc>
        <w:tc>
          <w:tcPr>
            <w:tcW w:w="947" w:type="dxa"/>
            <w:vMerge/>
            <w:shd w:val="clear" w:color="auto" w:fill="auto"/>
            <w:vAlign w:val="center"/>
            <w:hideMark/>
          </w:tcPr>
          <w:p w14:paraId="5F938408" w14:textId="77777777" w:rsidR="000C35B1" w:rsidRPr="00AE261D" w:rsidRDefault="000C35B1" w:rsidP="00C20CC4">
            <w:pPr>
              <w:spacing w:before="60" w:after="60"/>
              <w:jc w:val="center"/>
              <w:rPr>
                <w:sz w:val="22"/>
                <w:szCs w:val="22"/>
              </w:rPr>
            </w:pPr>
          </w:p>
        </w:tc>
        <w:tc>
          <w:tcPr>
            <w:tcW w:w="829" w:type="dxa"/>
            <w:vMerge/>
            <w:shd w:val="clear" w:color="auto" w:fill="auto"/>
            <w:vAlign w:val="center"/>
            <w:hideMark/>
          </w:tcPr>
          <w:p w14:paraId="393D0072" w14:textId="77777777" w:rsidR="000C35B1" w:rsidRPr="00AE261D" w:rsidRDefault="000C35B1" w:rsidP="00C20CC4">
            <w:pPr>
              <w:spacing w:before="60" w:after="60"/>
              <w:jc w:val="center"/>
              <w:rPr>
                <w:sz w:val="22"/>
                <w:szCs w:val="22"/>
              </w:rPr>
            </w:pPr>
          </w:p>
        </w:tc>
        <w:tc>
          <w:tcPr>
            <w:tcW w:w="840" w:type="dxa"/>
            <w:vMerge/>
            <w:shd w:val="clear" w:color="auto" w:fill="auto"/>
            <w:vAlign w:val="center"/>
            <w:hideMark/>
          </w:tcPr>
          <w:p w14:paraId="7446F193" w14:textId="77777777" w:rsidR="000C35B1" w:rsidRPr="00AE261D" w:rsidRDefault="000C35B1" w:rsidP="00C20CC4">
            <w:pPr>
              <w:spacing w:before="60" w:after="60"/>
              <w:jc w:val="center"/>
              <w:rPr>
                <w:sz w:val="22"/>
                <w:szCs w:val="22"/>
              </w:rPr>
            </w:pPr>
          </w:p>
        </w:tc>
        <w:tc>
          <w:tcPr>
            <w:tcW w:w="1030" w:type="dxa"/>
            <w:vMerge/>
            <w:shd w:val="clear" w:color="auto" w:fill="auto"/>
            <w:vAlign w:val="center"/>
            <w:hideMark/>
          </w:tcPr>
          <w:p w14:paraId="60AE7E46" w14:textId="77777777" w:rsidR="000C35B1" w:rsidRPr="00AE261D" w:rsidRDefault="000C35B1" w:rsidP="00C20CC4">
            <w:pPr>
              <w:spacing w:before="60" w:after="60"/>
              <w:jc w:val="center"/>
              <w:rPr>
                <w:sz w:val="22"/>
                <w:szCs w:val="22"/>
              </w:rPr>
            </w:pPr>
          </w:p>
        </w:tc>
        <w:tc>
          <w:tcPr>
            <w:tcW w:w="900" w:type="dxa"/>
            <w:vMerge/>
            <w:shd w:val="clear" w:color="auto" w:fill="auto"/>
            <w:vAlign w:val="center"/>
            <w:hideMark/>
          </w:tcPr>
          <w:p w14:paraId="212F3699" w14:textId="77777777" w:rsidR="000C35B1" w:rsidRPr="00AE261D" w:rsidRDefault="000C35B1" w:rsidP="00C20CC4">
            <w:pPr>
              <w:spacing w:before="60" w:after="60"/>
              <w:jc w:val="center"/>
              <w:rPr>
                <w:sz w:val="22"/>
                <w:szCs w:val="22"/>
              </w:rPr>
            </w:pPr>
          </w:p>
        </w:tc>
        <w:tc>
          <w:tcPr>
            <w:tcW w:w="1878" w:type="dxa"/>
            <w:vMerge/>
            <w:shd w:val="clear" w:color="auto" w:fill="auto"/>
            <w:vAlign w:val="center"/>
            <w:hideMark/>
          </w:tcPr>
          <w:p w14:paraId="2B4E4607" w14:textId="77777777" w:rsidR="000C35B1" w:rsidRPr="00AE261D" w:rsidRDefault="000C35B1" w:rsidP="00C20CC4">
            <w:pPr>
              <w:spacing w:before="60" w:after="60"/>
              <w:jc w:val="center"/>
              <w:rPr>
                <w:sz w:val="22"/>
                <w:szCs w:val="22"/>
              </w:rPr>
            </w:pPr>
          </w:p>
        </w:tc>
        <w:tc>
          <w:tcPr>
            <w:tcW w:w="1086" w:type="dxa"/>
            <w:vMerge/>
            <w:shd w:val="clear" w:color="auto" w:fill="auto"/>
            <w:vAlign w:val="center"/>
            <w:hideMark/>
          </w:tcPr>
          <w:p w14:paraId="74E14817" w14:textId="77777777" w:rsidR="000C35B1" w:rsidRPr="00AE261D" w:rsidRDefault="000C35B1" w:rsidP="00C20CC4">
            <w:pPr>
              <w:spacing w:before="60" w:after="60"/>
              <w:jc w:val="center"/>
              <w:rPr>
                <w:sz w:val="22"/>
                <w:szCs w:val="22"/>
              </w:rPr>
            </w:pPr>
          </w:p>
        </w:tc>
        <w:tc>
          <w:tcPr>
            <w:tcW w:w="1316" w:type="dxa"/>
            <w:vMerge/>
            <w:shd w:val="clear" w:color="auto" w:fill="auto"/>
            <w:vAlign w:val="center"/>
            <w:hideMark/>
          </w:tcPr>
          <w:p w14:paraId="01979A7D" w14:textId="77777777" w:rsidR="000C35B1" w:rsidRPr="00AE261D" w:rsidRDefault="000C35B1" w:rsidP="00C20CC4">
            <w:pPr>
              <w:spacing w:before="60" w:after="60"/>
              <w:jc w:val="center"/>
              <w:rPr>
                <w:sz w:val="22"/>
                <w:szCs w:val="22"/>
              </w:rPr>
            </w:pPr>
          </w:p>
        </w:tc>
        <w:tc>
          <w:tcPr>
            <w:tcW w:w="2190" w:type="dxa"/>
            <w:shd w:val="clear" w:color="auto" w:fill="auto"/>
            <w:vAlign w:val="center"/>
            <w:hideMark/>
          </w:tcPr>
          <w:p w14:paraId="300E51E7" w14:textId="77777777" w:rsidR="000C35B1" w:rsidRPr="00AE261D" w:rsidRDefault="000C35B1" w:rsidP="00C20CC4">
            <w:pPr>
              <w:spacing w:before="60" w:after="60"/>
              <w:rPr>
                <w:sz w:val="22"/>
                <w:szCs w:val="22"/>
              </w:rPr>
            </w:pPr>
            <w:r w:rsidRPr="00AE261D">
              <w:rPr>
                <w:sz w:val="22"/>
                <w:szCs w:val="22"/>
              </w:rPr>
              <w:t>Tạm tính:</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3068D001" w14:textId="77777777" w:rsidR="000C35B1" w:rsidRPr="00AE261D" w:rsidRDefault="000C35B1" w:rsidP="00C20CC4">
            <w:pPr>
              <w:spacing w:before="60" w:after="60"/>
              <w:jc w:val="center"/>
              <w:rPr>
                <w:sz w:val="22"/>
                <w:szCs w:val="22"/>
              </w:rPr>
            </w:pPr>
          </w:p>
        </w:tc>
      </w:tr>
      <w:tr w:rsidR="00002C6B" w:rsidRPr="00AE261D" w14:paraId="7D0A529A" w14:textId="77777777" w:rsidTr="00DF3719">
        <w:trPr>
          <w:trHeight w:val="694"/>
        </w:trPr>
        <w:tc>
          <w:tcPr>
            <w:tcW w:w="632" w:type="dxa"/>
            <w:vMerge w:val="restart"/>
            <w:shd w:val="clear" w:color="auto" w:fill="auto"/>
            <w:vAlign w:val="center"/>
            <w:hideMark/>
          </w:tcPr>
          <w:p w14:paraId="6F5A0BA0" w14:textId="77777777" w:rsidR="000C35B1" w:rsidRPr="00AE261D" w:rsidRDefault="000C35B1" w:rsidP="00C20CC4">
            <w:pPr>
              <w:spacing w:before="60" w:after="60"/>
              <w:jc w:val="center"/>
              <w:rPr>
                <w:sz w:val="22"/>
                <w:szCs w:val="22"/>
              </w:rPr>
            </w:pPr>
            <w:r w:rsidRPr="00AE261D">
              <w:rPr>
                <w:sz w:val="22"/>
                <w:szCs w:val="22"/>
              </w:rPr>
              <w:t>5</w:t>
            </w:r>
          </w:p>
        </w:tc>
        <w:tc>
          <w:tcPr>
            <w:tcW w:w="2504" w:type="dxa"/>
            <w:vMerge w:val="restart"/>
            <w:shd w:val="clear" w:color="auto" w:fill="auto"/>
            <w:vAlign w:val="center"/>
            <w:hideMark/>
          </w:tcPr>
          <w:p w14:paraId="6C7CF966" w14:textId="51FE2470" w:rsidR="000C35B1" w:rsidRPr="00AE261D" w:rsidRDefault="000C35B1" w:rsidP="00C20CC4">
            <w:pPr>
              <w:spacing w:before="60" w:after="60"/>
              <w:jc w:val="both"/>
              <w:rPr>
                <w:sz w:val="22"/>
                <w:szCs w:val="22"/>
              </w:rPr>
            </w:pPr>
            <w:r w:rsidRPr="00AE261D">
              <w:rPr>
                <w:sz w:val="22"/>
                <w:szCs w:val="22"/>
              </w:rPr>
              <w:t>Khu đất 2,74</w:t>
            </w:r>
            <w:r w:rsidR="00CA7EA4" w:rsidRPr="00AE261D">
              <w:rPr>
                <w:sz w:val="22"/>
                <w:szCs w:val="22"/>
              </w:rPr>
              <w:t xml:space="preserve"> </w:t>
            </w:r>
            <w:r w:rsidRPr="00AE261D">
              <w:rPr>
                <w:sz w:val="22"/>
                <w:szCs w:val="22"/>
              </w:rPr>
              <w:t>ha; Thửa đất số 71 tờ BĐĐC số 86 phường Tam Hiệp</w:t>
            </w:r>
          </w:p>
        </w:tc>
        <w:tc>
          <w:tcPr>
            <w:tcW w:w="947" w:type="dxa"/>
            <w:vMerge w:val="restart"/>
            <w:shd w:val="clear" w:color="auto" w:fill="auto"/>
            <w:vAlign w:val="center"/>
            <w:hideMark/>
          </w:tcPr>
          <w:p w14:paraId="1178BD10" w14:textId="77777777" w:rsidR="000C35B1" w:rsidRPr="00AE261D" w:rsidRDefault="000C35B1" w:rsidP="00C20CC4">
            <w:pPr>
              <w:spacing w:before="60" w:after="60"/>
              <w:jc w:val="center"/>
              <w:rPr>
                <w:sz w:val="22"/>
                <w:szCs w:val="22"/>
              </w:rPr>
            </w:pPr>
            <w:r w:rsidRPr="00AE261D">
              <w:rPr>
                <w:sz w:val="22"/>
                <w:szCs w:val="22"/>
              </w:rPr>
              <w:t>Tam Hiệp</w:t>
            </w:r>
          </w:p>
        </w:tc>
        <w:tc>
          <w:tcPr>
            <w:tcW w:w="829" w:type="dxa"/>
            <w:vMerge w:val="restart"/>
            <w:shd w:val="clear" w:color="auto" w:fill="auto"/>
            <w:vAlign w:val="center"/>
            <w:hideMark/>
          </w:tcPr>
          <w:p w14:paraId="5FF9BDCA" w14:textId="77777777" w:rsidR="000C35B1" w:rsidRPr="00AE261D" w:rsidRDefault="000C35B1" w:rsidP="00C20CC4">
            <w:pPr>
              <w:spacing w:before="60" w:after="60"/>
              <w:jc w:val="center"/>
              <w:rPr>
                <w:sz w:val="22"/>
                <w:szCs w:val="22"/>
              </w:rPr>
            </w:pPr>
            <w:r w:rsidRPr="00AE261D">
              <w:rPr>
                <w:sz w:val="22"/>
                <w:szCs w:val="22"/>
              </w:rPr>
              <w:t>71</w:t>
            </w:r>
          </w:p>
        </w:tc>
        <w:tc>
          <w:tcPr>
            <w:tcW w:w="840" w:type="dxa"/>
            <w:vMerge w:val="restart"/>
            <w:shd w:val="clear" w:color="auto" w:fill="auto"/>
            <w:vAlign w:val="center"/>
            <w:hideMark/>
          </w:tcPr>
          <w:p w14:paraId="0AF2EA51" w14:textId="77777777" w:rsidR="000C35B1" w:rsidRPr="00AE261D" w:rsidRDefault="000C35B1" w:rsidP="00C20CC4">
            <w:pPr>
              <w:spacing w:before="60" w:after="60"/>
              <w:jc w:val="center"/>
              <w:rPr>
                <w:sz w:val="22"/>
                <w:szCs w:val="22"/>
              </w:rPr>
            </w:pPr>
            <w:r w:rsidRPr="00AE261D">
              <w:rPr>
                <w:sz w:val="22"/>
                <w:szCs w:val="22"/>
              </w:rPr>
              <w:t>86</w:t>
            </w:r>
          </w:p>
        </w:tc>
        <w:tc>
          <w:tcPr>
            <w:tcW w:w="1030" w:type="dxa"/>
            <w:vMerge w:val="restart"/>
            <w:shd w:val="clear" w:color="auto" w:fill="auto"/>
            <w:vAlign w:val="center"/>
            <w:hideMark/>
          </w:tcPr>
          <w:p w14:paraId="2413E98A" w14:textId="77777777" w:rsidR="000C35B1" w:rsidRPr="00AE261D" w:rsidRDefault="000C35B1" w:rsidP="00C20CC4">
            <w:pPr>
              <w:spacing w:before="60" w:after="60"/>
              <w:jc w:val="center"/>
              <w:rPr>
                <w:sz w:val="22"/>
                <w:szCs w:val="22"/>
              </w:rPr>
            </w:pPr>
            <w:r w:rsidRPr="00AE261D">
              <w:rPr>
                <w:sz w:val="22"/>
                <w:szCs w:val="22"/>
              </w:rPr>
              <w:t>2,74</w:t>
            </w:r>
          </w:p>
        </w:tc>
        <w:tc>
          <w:tcPr>
            <w:tcW w:w="900" w:type="dxa"/>
            <w:vMerge w:val="restart"/>
            <w:shd w:val="clear" w:color="auto" w:fill="auto"/>
            <w:vAlign w:val="center"/>
            <w:hideMark/>
          </w:tcPr>
          <w:p w14:paraId="2AF30AE2" w14:textId="77777777" w:rsidR="000C35B1" w:rsidRPr="00AE261D" w:rsidRDefault="000C35B1" w:rsidP="00C20CC4">
            <w:pPr>
              <w:spacing w:before="60" w:after="60"/>
              <w:jc w:val="center"/>
              <w:rPr>
                <w:sz w:val="22"/>
                <w:szCs w:val="22"/>
              </w:rPr>
            </w:pPr>
            <w:r w:rsidRPr="00AE261D">
              <w:rPr>
                <w:sz w:val="22"/>
                <w:szCs w:val="22"/>
              </w:rPr>
              <w:t>ODT</w:t>
            </w:r>
          </w:p>
        </w:tc>
        <w:tc>
          <w:tcPr>
            <w:tcW w:w="1878" w:type="dxa"/>
            <w:vMerge w:val="restart"/>
            <w:shd w:val="clear" w:color="auto" w:fill="auto"/>
            <w:vAlign w:val="center"/>
            <w:hideMark/>
          </w:tcPr>
          <w:p w14:paraId="48F538F9" w14:textId="77777777" w:rsidR="000C35B1" w:rsidRPr="00AE261D" w:rsidRDefault="000C35B1" w:rsidP="00C20CC4">
            <w:pPr>
              <w:spacing w:before="60" w:after="60"/>
              <w:jc w:val="center"/>
              <w:rPr>
                <w:sz w:val="22"/>
                <w:szCs w:val="22"/>
              </w:rPr>
            </w:pPr>
            <w:r w:rsidRPr="00AE261D">
              <w:rPr>
                <w:sz w:val="22"/>
                <w:szCs w:val="22"/>
              </w:rPr>
              <w:t>270,51</w:t>
            </w:r>
          </w:p>
        </w:tc>
        <w:tc>
          <w:tcPr>
            <w:tcW w:w="1086" w:type="dxa"/>
            <w:vMerge w:val="restart"/>
            <w:shd w:val="clear" w:color="auto" w:fill="auto"/>
            <w:vAlign w:val="center"/>
            <w:hideMark/>
          </w:tcPr>
          <w:p w14:paraId="02977D21" w14:textId="77777777" w:rsidR="000C35B1" w:rsidRPr="00AE261D" w:rsidRDefault="000C35B1" w:rsidP="00C20CC4">
            <w:pPr>
              <w:spacing w:before="60" w:after="60"/>
              <w:jc w:val="center"/>
              <w:rPr>
                <w:sz w:val="22"/>
                <w:szCs w:val="22"/>
              </w:rPr>
            </w:pPr>
            <w:r w:rsidRPr="00AE261D">
              <w:rPr>
                <w:sz w:val="22"/>
                <w:szCs w:val="22"/>
              </w:rPr>
              <w:t>Trong năm 2025</w:t>
            </w:r>
          </w:p>
        </w:tc>
        <w:tc>
          <w:tcPr>
            <w:tcW w:w="1316" w:type="dxa"/>
            <w:vMerge w:val="restart"/>
            <w:shd w:val="clear" w:color="auto" w:fill="auto"/>
            <w:vAlign w:val="center"/>
            <w:hideMark/>
          </w:tcPr>
          <w:p w14:paraId="08A81835" w14:textId="77777777" w:rsidR="000C35B1" w:rsidRPr="00AE261D" w:rsidRDefault="000C35B1" w:rsidP="00C20CC4">
            <w:pPr>
              <w:spacing w:before="60" w:after="60"/>
              <w:jc w:val="center"/>
              <w:rPr>
                <w:sz w:val="22"/>
                <w:szCs w:val="22"/>
              </w:rPr>
            </w:pPr>
            <w:r w:rsidRPr="00AE261D">
              <w:rPr>
                <w:sz w:val="22"/>
                <w:szCs w:val="22"/>
              </w:rPr>
              <w:t>65.000.000</w:t>
            </w:r>
          </w:p>
        </w:tc>
        <w:tc>
          <w:tcPr>
            <w:tcW w:w="2190" w:type="dxa"/>
            <w:shd w:val="clear" w:color="auto" w:fill="auto"/>
            <w:vAlign w:val="center"/>
            <w:hideMark/>
          </w:tcPr>
          <w:p w14:paraId="33B56C18" w14:textId="77777777" w:rsidR="000C35B1" w:rsidRPr="00AE261D" w:rsidRDefault="000C35B1" w:rsidP="00C20CC4">
            <w:pPr>
              <w:spacing w:before="60" w:after="60"/>
              <w:jc w:val="center"/>
              <w:rPr>
                <w:sz w:val="22"/>
                <w:szCs w:val="22"/>
              </w:rPr>
            </w:pPr>
            <w:r w:rsidRPr="00AE261D">
              <w:rPr>
                <w:sz w:val="22"/>
                <w:szCs w:val="22"/>
              </w:rPr>
              <w:t>1.039,00</w:t>
            </w:r>
          </w:p>
        </w:tc>
        <w:tc>
          <w:tcPr>
            <w:tcW w:w="684" w:type="dxa"/>
            <w:vMerge w:val="restart"/>
            <w:shd w:val="clear" w:color="auto" w:fill="auto"/>
            <w:vAlign w:val="center"/>
            <w:hideMark/>
          </w:tcPr>
          <w:p w14:paraId="5200A016" w14:textId="77777777" w:rsidR="000C35B1" w:rsidRPr="00AE261D" w:rsidRDefault="000C35B1" w:rsidP="00C20CC4">
            <w:pPr>
              <w:spacing w:before="60" w:after="60"/>
              <w:jc w:val="center"/>
              <w:rPr>
                <w:sz w:val="22"/>
                <w:szCs w:val="22"/>
              </w:rPr>
            </w:pPr>
          </w:p>
        </w:tc>
      </w:tr>
      <w:tr w:rsidR="00002C6B" w:rsidRPr="00AE261D" w14:paraId="2797EF7F" w14:textId="77777777" w:rsidTr="00DF3719">
        <w:trPr>
          <w:trHeight w:val="1696"/>
        </w:trPr>
        <w:tc>
          <w:tcPr>
            <w:tcW w:w="632" w:type="dxa"/>
            <w:vMerge/>
            <w:shd w:val="clear" w:color="auto" w:fill="auto"/>
            <w:vAlign w:val="center"/>
            <w:hideMark/>
          </w:tcPr>
          <w:p w14:paraId="100FE7F7" w14:textId="77777777" w:rsidR="000C35B1" w:rsidRPr="00AE261D" w:rsidRDefault="000C35B1" w:rsidP="00C20CC4">
            <w:pPr>
              <w:spacing w:before="60" w:after="60"/>
              <w:jc w:val="center"/>
              <w:rPr>
                <w:sz w:val="22"/>
                <w:szCs w:val="22"/>
              </w:rPr>
            </w:pPr>
          </w:p>
        </w:tc>
        <w:tc>
          <w:tcPr>
            <w:tcW w:w="2504" w:type="dxa"/>
            <w:vMerge/>
            <w:shd w:val="clear" w:color="auto" w:fill="auto"/>
            <w:vAlign w:val="center"/>
            <w:hideMark/>
          </w:tcPr>
          <w:p w14:paraId="4D42B8AF" w14:textId="77777777" w:rsidR="000C35B1" w:rsidRPr="00AE261D" w:rsidRDefault="000C35B1" w:rsidP="00C20CC4">
            <w:pPr>
              <w:spacing w:before="60" w:after="60"/>
              <w:jc w:val="both"/>
              <w:rPr>
                <w:sz w:val="22"/>
                <w:szCs w:val="22"/>
              </w:rPr>
            </w:pPr>
          </w:p>
        </w:tc>
        <w:tc>
          <w:tcPr>
            <w:tcW w:w="947" w:type="dxa"/>
            <w:vMerge/>
            <w:shd w:val="clear" w:color="auto" w:fill="auto"/>
            <w:vAlign w:val="center"/>
            <w:hideMark/>
          </w:tcPr>
          <w:p w14:paraId="13B3F622" w14:textId="77777777" w:rsidR="000C35B1" w:rsidRPr="00AE261D" w:rsidRDefault="000C35B1" w:rsidP="00C20CC4">
            <w:pPr>
              <w:spacing w:before="60" w:after="60"/>
              <w:jc w:val="center"/>
              <w:rPr>
                <w:sz w:val="22"/>
                <w:szCs w:val="22"/>
              </w:rPr>
            </w:pPr>
          </w:p>
        </w:tc>
        <w:tc>
          <w:tcPr>
            <w:tcW w:w="829" w:type="dxa"/>
            <w:vMerge/>
            <w:shd w:val="clear" w:color="auto" w:fill="auto"/>
            <w:vAlign w:val="center"/>
            <w:hideMark/>
          </w:tcPr>
          <w:p w14:paraId="79F620AF" w14:textId="77777777" w:rsidR="000C35B1" w:rsidRPr="00AE261D" w:rsidRDefault="000C35B1" w:rsidP="00C20CC4">
            <w:pPr>
              <w:spacing w:before="60" w:after="60"/>
              <w:jc w:val="center"/>
              <w:rPr>
                <w:sz w:val="22"/>
                <w:szCs w:val="22"/>
              </w:rPr>
            </w:pPr>
          </w:p>
        </w:tc>
        <w:tc>
          <w:tcPr>
            <w:tcW w:w="840" w:type="dxa"/>
            <w:vMerge/>
            <w:shd w:val="clear" w:color="auto" w:fill="auto"/>
            <w:vAlign w:val="center"/>
            <w:hideMark/>
          </w:tcPr>
          <w:p w14:paraId="7250CB76" w14:textId="77777777" w:rsidR="000C35B1" w:rsidRPr="00AE261D" w:rsidRDefault="000C35B1" w:rsidP="00C20CC4">
            <w:pPr>
              <w:spacing w:before="60" w:after="60"/>
              <w:jc w:val="center"/>
              <w:rPr>
                <w:sz w:val="22"/>
                <w:szCs w:val="22"/>
              </w:rPr>
            </w:pPr>
          </w:p>
        </w:tc>
        <w:tc>
          <w:tcPr>
            <w:tcW w:w="1030" w:type="dxa"/>
            <w:vMerge/>
            <w:shd w:val="clear" w:color="auto" w:fill="auto"/>
            <w:vAlign w:val="center"/>
            <w:hideMark/>
          </w:tcPr>
          <w:p w14:paraId="209A71AB" w14:textId="77777777" w:rsidR="000C35B1" w:rsidRPr="00AE261D" w:rsidRDefault="000C35B1" w:rsidP="00C20CC4">
            <w:pPr>
              <w:spacing w:before="60" w:after="60"/>
              <w:jc w:val="center"/>
              <w:rPr>
                <w:sz w:val="22"/>
                <w:szCs w:val="22"/>
              </w:rPr>
            </w:pPr>
          </w:p>
        </w:tc>
        <w:tc>
          <w:tcPr>
            <w:tcW w:w="900" w:type="dxa"/>
            <w:vMerge/>
            <w:shd w:val="clear" w:color="auto" w:fill="auto"/>
            <w:vAlign w:val="center"/>
            <w:hideMark/>
          </w:tcPr>
          <w:p w14:paraId="60077414" w14:textId="77777777" w:rsidR="000C35B1" w:rsidRPr="00AE261D" w:rsidRDefault="000C35B1" w:rsidP="00C20CC4">
            <w:pPr>
              <w:spacing w:before="60" w:after="60"/>
              <w:jc w:val="center"/>
              <w:rPr>
                <w:sz w:val="22"/>
                <w:szCs w:val="22"/>
              </w:rPr>
            </w:pPr>
          </w:p>
        </w:tc>
        <w:tc>
          <w:tcPr>
            <w:tcW w:w="1878" w:type="dxa"/>
            <w:vMerge/>
            <w:shd w:val="clear" w:color="auto" w:fill="auto"/>
            <w:vAlign w:val="center"/>
            <w:hideMark/>
          </w:tcPr>
          <w:p w14:paraId="18FCFDA2" w14:textId="77777777" w:rsidR="000C35B1" w:rsidRPr="00AE261D" w:rsidRDefault="000C35B1" w:rsidP="00C20CC4">
            <w:pPr>
              <w:spacing w:before="60" w:after="60"/>
              <w:jc w:val="center"/>
              <w:rPr>
                <w:sz w:val="22"/>
                <w:szCs w:val="22"/>
              </w:rPr>
            </w:pPr>
          </w:p>
        </w:tc>
        <w:tc>
          <w:tcPr>
            <w:tcW w:w="1086" w:type="dxa"/>
            <w:vMerge/>
            <w:shd w:val="clear" w:color="auto" w:fill="auto"/>
            <w:vAlign w:val="center"/>
            <w:hideMark/>
          </w:tcPr>
          <w:p w14:paraId="3C9AE593" w14:textId="77777777" w:rsidR="000C35B1" w:rsidRPr="00AE261D" w:rsidRDefault="000C35B1" w:rsidP="00C20CC4">
            <w:pPr>
              <w:spacing w:before="60" w:after="60"/>
              <w:jc w:val="center"/>
              <w:rPr>
                <w:sz w:val="22"/>
                <w:szCs w:val="22"/>
              </w:rPr>
            </w:pPr>
          </w:p>
        </w:tc>
        <w:tc>
          <w:tcPr>
            <w:tcW w:w="1316" w:type="dxa"/>
            <w:vMerge/>
            <w:shd w:val="clear" w:color="auto" w:fill="auto"/>
            <w:vAlign w:val="center"/>
            <w:hideMark/>
          </w:tcPr>
          <w:p w14:paraId="1D661B4F" w14:textId="77777777" w:rsidR="000C35B1" w:rsidRPr="00AE261D" w:rsidRDefault="000C35B1" w:rsidP="00C20CC4">
            <w:pPr>
              <w:spacing w:before="60" w:after="60"/>
              <w:jc w:val="center"/>
              <w:rPr>
                <w:sz w:val="22"/>
                <w:szCs w:val="22"/>
              </w:rPr>
            </w:pPr>
          </w:p>
        </w:tc>
        <w:tc>
          <w:tcPr>
            <w:tcW w:w="2190" w:type="dxa"/>
            <w:shd w:val="clear" w:color="auto" w:fill="auto"/>
            <w:vAlign w:val="center"/>
            <w:hideMark/>
          </w:tcPr>
          <w:p w14:paraId="7132768B" w14:textId="77777777" w:rsidR="000C35B1" w:rsidRPr="00AE261D" w:rsidRDefault="000C35B1" w:rsidP="00C20CC4">
            <w:pPr>
              <w:spacing w:before="60" w:after="60"/>
              <w:jc w:val="both"/>
              <w:rPr>
                <w:sz w:val="22"/>
                <w:szCs w:val="22"/>
              </w:rPr>
            </w:pPr>
            <w:r w:rsidRPr="00AE261D">
              <w:rPr>
                <w:sz w:val="22"/>
                <w:szCs w:val="22"/>
              </w:rPr>
              <w:t>Thông báo đấu giá tài sản số 170/TB-ĐGTS của Trung tâm dịch vụ Đấu giá tài sản tỉnh Đồng Nai ngày 14/11/2025</w:t>
            </w:r>
          </w:p>
        </w:tc>
        <w:tc>
          <w:tcPr>
            <w:tcW w:w="684" w:type="dxa"/>
            <w:vMerge/>
            <w:shd w:val="clear" w:color="auto" w:fill="auto"/>
            <w:vAlign w:val="center"/>
            <w:hideMark/>
          </w:tcPr>
          <w:p w14:paraId="37FAB253" w14:textId="77777777" w:rsidR="000C35B1" w:rsidRPr="00AE261D" w:rsidRDefault="000C35B1" w:rsidP="00C20CC4">
            <w:pPr>
              <w:spacing w:before="60" w:after="60"/>
              <w:jc w:val="center"/>
              <w:rPr>
                <w:sz w:val="22"/>
                <w:szCs w:val="22"/>
              </w:rPr>
            </w:pPr>
          </w:p>
        </w:tc>
      </w:tr>
      <w:tr w:rsidR="00002C6B" w:rsidRPr="00AE261D" w14:paraId="513D8077" w14:textId="77777777" w:rsidTr="00DF3719">
        <w:trPr>
          <w:trHeight w:val="754"/>
        </w:trPr>
        <w:tc>
          <w:tcPr>
            <w:tcW w:w="632" w:type="dxa"/>
            <w:vMerge w:val="restart"/>
            <w:shd w:val="clear" w:color="auto" w:fill="auto"/>
            <w:vAlign w:val="center"/>
            <w:hideMark/>
          </w:tcPr>
          <w:p w14:paraId="0ACBB0B5" w14:textId="77777777" w:rsidR="000C35B1" w:rsidRPr="00AE261D" w:rsidRDefault="000C35B1" w:rsidP="00C20CC4">
            <w:pPr>
              <w:spacing w:before="60" w:after="60"/>
              <w:jc w:val="center"/>
              <w:rPr>
                <w:sz w:val="22"/>
                <w:szCs w:val="22"/>
              </w:rPr>
            </w:pPr>
            <w:r w:rsidRPr="00AE261D">
              <w:rPr>
                <w:sz w:val="22"/>
                <w:szCs w:val="22"/>
              </w:rPr>
              <w:t>6</w:t>
            </w:r>
          </w:p>
        </w:tc>
        <w:tc>
          <w:tcPr>
            <w:tcW w:w="2504" w:type="dxa"/>
            <w:vMerge w:val="restart"/>
            <w:shd w:val="clear" w:color="auto" w:fill="auto"/>
            <w:vAlign w:val="center"/>
            <w:hideMark/>
          </w:tcPr>
          <w:p w14:paraId="4346D3DD" w14:textId="2BC72EF2" w:rsidR="000C35B1" w:rsidRPr="00AE261D" w:rsidRDefault="000C35B1" w:rsidP="00C20CC4">
            <w:pPr>
              <w:spacing w:before="60" w:after="60"/>
              <w:jc w:val="both"/>
              <w:rPr>
                <w:sz w:val="22"/>
                <w:szCs w:val="22"/>
              </w:rPr>
            </w:pPr>
            <w:r w:rsidRPr="00AE261D">
              <w:rPr>
                <w:sz w:val="22"/>
                <w:szCs w:val="22"/>
              </w:rPr>
              <w:t>Khu đất 0,57</w:t>
            </w:r>
            <w:r w:rsidR="004E188A" w:rsidRPr="00AE261D">
              <w:rPr>
                <w:sz w:val="22"/>
                <w:szCs w:val="22"/>
              </w:rPr>
              <w:t xml:space="preserve"> </w:t>
            </w:r>
            <w:r w:rsidRPr="00AE261D">
              <w:rPr>
                <w:sz w:val="22"/>
                <w:szCs w:val="22"/>
              </w:rPr>
              <w:t xml:space="preserve">ha; Thửa đất số 31 và 137 tờ BĐĐC số 47 </w:t>
            </w:r>
            <w:r w:rsidRPr="00AE261D">
              <w:rPr>
                <w:sz w:val="22"/>
                <w:szCs w:val="22"/>
                <w:lang w:val="vi-VN"/>
              </w:rPr>
              <w:t xml:space="preserve">tại </w:t>
            </w:r>
            <w:r w:rsidRPr="00AE261D">
              <w:rPr>
                <w:sz w:val="22"/>
                <w:szCs w:val="22"/>
              </w:rPr>
              <w:t>phường Trấn Biên</w:t>
            </w:r>
          </w:p>
        </w:tc>
        <w:tc>
          <w:tcPr>
            <w:tcW w:w="947" w:type="dxa"/>
            <w:vMerge w:val="restart"/>
            <w:shd w:val="clear" w:color="auto" w:fill="auto"/>
            <w:vAlign w:val="center"/>
            <w:hideMark/>
          </w:tcPr>
          <w:p w14:paraId="0F3AA366" w14:textId="77777777" w:rsidR="000C35B1" w:rsidRPr="00AE261D" w:rsidRDefault="000C35B1" w:rsidP="00C20CC4">
            <w:pPr>
              <w:spacing w:before="60" w:after="60"/>
              <w:jc w:val="center"/>
              <w:rPr>
                <w:sz w:val="22"/>
                <w:szCs w:val="22"/>
              </w:rPr>
            </w:pPr>
            <w:r w:rsidRPr="00AE261D">
              <w:rPr>
                <w:sz w:val="22"/>
                <w:szCs w:val="22"/>
              </w:rPr>
              <w:t>Trấn Biên</w:t>
            </w:r>
          </w:p>
        </w:tc>
        <w:tc>
          <w:tcPr>
            <w:tcW w:w="829" w:type="dxa"/>
            <w:vMerge w:val="restart"/>
            <w:shd w:val="clear" w:color="auto" w:fill="auto"/>
            <w:vAlign w:val="center"/>
            <w:hideMark/>
          </w:tcPr>
          <w:p w14:paraId="579B38ED" w14:textId="77777777" w:rsidR="000C35B1" w:rsidRPr="00AE261D" w:rsidRDefault="000C35B1" w:rsidP="00C20CC4">
            <w:pPr>
              <w:spacing w:before="60" w:after="60"/>
              <w:jc w:val="center"/>
              <w:rPr>
                <w:sz w:val="22"/>
                <w:szCs w:val="22"/>
              </w:rPr>
            </w:pPr>
            <w:r w:rsidRPr="00AE261D">
              <w:rPr>
                <w:sz w:val="22"/>
                <w:szCs w:val="22"/>
              </w:rPr>
              <w:t>31, 137</w:t>
            </w:r>
          </w:p>
        </w:tc>
        <w:tc>
          <w:tcPr>
            <w:tcW w:w="840" w:type="dxa"/>
            <w:vMerge w:val="restart"/>
            <w:shd w:val="clear" w:color="auto" w:fill="auto"/>
            <w:vAlign w:val="center"/>
            <w:hideMark/>
          </w:tcPr>
          <w:p w14:paraId="78E3B0C3" w14:textId="77777777" w:rsidR="000C35B1" w:rsidRPr="00AE261D" w:rsidRDefault="000C35B1" w:rsidP="00C20CC4">
            <w:pPr>
              <w:spacing w:before="60" w:after="60"/>
              <w:jc w:val="center"/>
              <w:rPr>
                <w:sz w:val="22"/>
                <w:szCs w:val="22"/>
              </w:rPr>
            </w:pPr>
            <w:r w:rsidRPr="00AE261D">
              <w:rPr>
                <w:sz w:val="22"/>
                <w:szCs w:val="22"/>
              </w:rPr>
              <w:t>47</w:t>
            </w:r>
          </w:p>
        </w:tc>
        <w:tc>
          <w:tcPr>
            <w:tcW w:w="1030" w:type="dxa"/>
            <w:vMerge w:val="restart"/>
            <w:shd w:val="clear" w:color="auto" w:fill="auto"/>
            <w:vAlign w:val="center"/>
            <w:hideMark/>
          </w:tcPr>
          <w:p w14:paraId="520132C8" w14:textId="77777777" w:rsidR="000C35B1" w:rsidRPr="00AE261D" w:rsidRDefault="000C35B1" w:rsidP="00C20CC4">
            <w:pPr>
              <w:spacing w:before="60" w:after="60"/>
              <w:jc w:val="center"/>
              <w:rPr>
                <w:sz w:val="22"/>
                <w:szCs w:val="22"/>
              </w:rPr>
            </w:pPr>
            <w:r w:rsidRPr="00AE261D">
              <w:rPr>
                <w:sz w:val="22"/>
                <w:szCs w:val="22"/>
              </w:rPr>
              <w:t>0,57</w:t>
            </w:r>
          </w:p>
        </w:tc>
        <w:tc>
          <w:tcPr>
            <w:tcW w:w="900" w:type="dxa"/>
            <w:vMerge w:val="restart"/>
            <w:shd w:val="clear" w:color="auto" w:fill="auto"/>
            <w:vAlign w:val="center"/>
            <w:hideMark/>
          </w:tcPr>
          <w:p w14:paraId="13060BEF" w14:textId="77777777" w:rsidR="000C35B1" w:rsidRPr="00AE261D" w:rsidRDefault="000C35B1" w:rsidP="00C20CC4">
            <w:pPr>
              <w:spacing w:before="60" w:after="60"/>
              <w:jc w:val="center"/>
              <w:rPr>
                <w:sz w:val="22"/>
                <w:szCs w:val="22"/>
              </w:rPr>
            </w:pPr>
            <w:r w:rsidRPr="00AE261D">
              <w:rPr>
                <w:sz w:val="22"/>
                <w:szCs w:val="22"/>
              </w:rPr>
              <w:t>ODT</w:t>
            </w:r>
          </w:p>
        </w:tc>
        <w:tc>
          <w:tcPr>
            <w:tcW w:w="1878" w:type="dxa"/>
            <w:vMerge w:val="restart"/>
            <w:shd w:val="clear" w:color="auto" w:fill="auto"/>
            <w:vAlign w:val="center"/>
            <w:hideMark/>
          </w:tcPr>
          <w:p w14:paraId="6A048B2A" w14:textId="77777777" w:rsidR="000C35B1" w:rsidRPr="00AE261D" w:rsidRDefault="000C35B1" w:rsidP="00C20CC4">
            <w:pPr>
              <w:spacing w:before="60" w:after="60"/>
              <w:jc w:val="center"/>
              <w:rPr>
                <w:sz w:val="22"/>
                <w:szCs w:val="22"/>
              </w:rPr>
            </w:pPr>
            <w:r w:rsidRPr="00AE261D">
              <w:rPr>
                <w:sz w:val="22"/>
                <w:szCs w:val="22"/>
              </w:rPr>
              <w:t>159,30</w:t>
            </w:r>
          </w:p>
        </w:tc>
        <w:tc>
          <w:tcPr>
            <w:tcW w:w="1086" w:type="dxa"/>
            <w:vMerge w:val="restart"/>
            <w:shd w:val="clear" w:color="auto" w:fill="auto"/>
            <w:vAlign w:val="center"/>
            <w:hideMark/>
          </w:tcPr>
          <w:p w14:paraId="4B5BC511" w14:textId="77777777" w:rsidR="000C35B1" w:rsidRPr="00AE261D" w:rsidRDefault="000C35B1" w:rsidP="00C20CC4">
            <w:pPr>
              <w:spacing w:before="60" w:after="60"/>
              <w:jc w:val="center"/>
              <w:rPr>
                <w:sz w:val="22"/>
                <w:szCs w:val="22"/>
              </w:rPr>
            </w:pPr>
            <w:r w:rsidRPr="00AE261D">
              <w:rPr>
                <w:sz w:val="22"/>
                <w:szCs w:val="22"/>
              </w:rPr>
              <w:t xml:space="preserve">Trong năm 2025 </w:t>
            </w:r>
            <w:r w:rsidRPr="00AE261D">
              <w:rPr>
                <w:sz w:val="22"/>
                <w:szCs w:val="22"/>
              </w:rPr>
              <w:br/>
              <w:t>và đầu năm 2026</w:t>
            </w:r>
          </w:p>
        </w:tc>
        <w:tc>
          <w:tcPr>
            <w:tcW w:w="1316" w:type="dxa"/>
            <w:vMerge w:val="restart"/>
            <w:shd w:val="clear" w:color="auto" w:fill="auto"/>
            <w:vAlign w:val="center"/>
            <w:hideMark/>
          </w:tcPr>
          <w:p w14:paraId="1AA3EBDA" w14:textId="77777777" w:rsidR="000C35B1" w:rsidRPr="00AE261D" w:rsidRDefault="000C35B1" w:rsidP="00C20CC4">
            <w:pPr>
              <w:spacing w:before="60" w:after="60"/>
              <w:jc w:val="center"/>
              <w:rPr>
                <w:sz w:val="22"/>
                <w:szCs w:val="22"/>
              </w:rPr>
            </w:pPr>
            <w:r w:rsidRPr="00AE261D">
              <w:rPr>
                <w:sz w:val="22"/>
                <w:szCs w:val="22"/>
              </w:rPr>
              <w:t>120.000.000</w:t>
            </w:r>
          </w:p>
        </w:tc>
        <w:tc>
          <w:tcPr>
            <w:tcW w:w="2190" w:type="dxa"/>
            <w:shd w:val="clear" w:color="auto" w:fill="auto"/>
            <w:vAlign w:val="center"/>
            <w:hideMark/>
          </w:tcPr>
          <w:p w14:paraId="1D9BD966" w14:textId="77777777" w:rsidR="000C35B1" w:rsidRPr="00AE261D" w:rsidRDefault="000C35B1" w:rsidP="00C20CC4">
            <w:pPr>
              <w:spacing w:before="60" w:after="60"/>
              <w:jc w:val="center"/>
              <w:rPr>
                <w:sz w:val="22"/>
                <w:szCs w:val="22"/>
              </w:rPr>
            </w:pPr>
            <w:r w:rsidRPr="00AE261D">
              <w:rPr>
                <w:sz w:val="22"/>
                <w:szCs w:val="22"/>
              </w:rPr>
              <w:t>239,40</w:t>
            </w:r>
          </w:p>
        </w:tc>
        <w:tc>
          <w:tcPr>
            <w:tcW w:w="684" w:type="dxa"/>
            <w:vMerge w:val="restart"/>
            <w:shd w:val="clear" w:color="auto" w:fill="auto"/>
            <w:vAlign w:val="center"/>
            <w:hideMark/>
          </w:tcPr>
          <w:p w14:paraId="7EEFD14D" w14:textId="77777777" w:rsidR="000C35B1" w:rsidRPr="00AE261D" w:rsidRDefault="000C35B1" w:rsidP="00C20CC4">
            <w:pPr>
              <w:spacing w:before="60" w:after="60"/>
              <w:jc w:val="center"/>
              <w:rPr>
                <w:sz w:val="22"/>
                <w:szCs w:val="22"/>
              </w:rPr>
            </w:pPr>
          </w:p>
        </w:tc>
      </w:tr>
      <w:tr w:rsidR="00002C6B" w:rsidRPr="00AE261D" w14:paraId="634AAE9D" w14:textId="77777777" w:rsidTr="00DF3719">
        <w:trPr>
          <w:trHeight w:val="1971"/>
        </w:trPr>
        <w:tc>
          <w:tcPr>
            <w:tcW w:w="632" w:type="dxa"/>
            <w:vMerge/>
            <w:shd w:val="clear" w:color="auto" w:fill="auto"/>
            <w:vAlign w:val="center"/>
            <w:hideMark/>
          </w:tcPr>
          <w:p w14:paraId="3F763B0F" w14:textId="77777777" w:rsidR="000C35B1" w:rsidRPr="00AE261D" w:rsidRDefault="000C35B1" w:rsidP="00002C6B">
            <w:pPr>
              <w:jc w:val="center"/>
              <w:rPr>
                <w:sz w:val="22"/>
                <w:szCs w:val="22"/>
              </w:rPr>
            </w:pPr>
          </w:p>
        </w:tc>
        <w:tc>
          <w:tcPr>
            <w:tcW w:w="2504" w:type="dxa"/>
            <w:vMerge/>
            <w:shd w:val="clear" w:color="auto" w:fill="auto"/>
            <w:vAlign w:val="center"/>
            <w:hideMark/>
          </w:tcPr>
          <w:p w14:paraId="35C48285" w14:textId="77777777" w:rsidR="000C35B1" w:rsidRPr="00AE261D" w:rsidRDefault="000C35B1" w:rsidP="00002C6B">
            <w:pPr>
              <w:jc w:val="both"/>
              <w:rPr>
                <w:sz w:val="22"/>
                <w:szCs w:val="22"/>
              </w:rPr>
            </w:pPr>
          </w:p>
        </w:tc>
        <w:tc>
          <w:tcPr>
            <w:tcW w:w="947" w:type="dxa"/>
            <w:vMerge/>
            <w:shd w:val="clear" w:color="auto" w:fill="auto"/>
            <w:vAlign w:val="center"/>
            <w:hideMark/>
          </w:tcPr>
          <w:p w14:paraId="4ECFFA83" w14:textId="77777777" w:rsidR="000C35B1" w:rsidRPr="00AE261D" w:rsidRDefault="000C35B1" w:rsidP="00002C6B">
            <w:pPr>
              <w:jc w:val="center"/>
              <w:rPr>
                <w:sz w:val="22"/>
                <w:szCs w:val="22"/>
              </w:rPr>
            </w:pPr>
          </w:p>
        </w:tc>
        <w:tc>
          <w:tcPr>
            <w:tcW w:w="829" w:type="dxa"/>
            <w:vMerge/>
            <w:shd w:val="clear" w:color="auto" w:fill="auto"/>
            <w:vAlign w:val="center"/>
            <w:hideMark/>
          </w:tcPr>
          <w:p w14:paraId="1BCA5766" w14:textId="77777777" w:rsidR="000C35B1" w:rsidRPr="00AE261D" w:rsidRDefault="000C35B1" w:rsidP="00002C6B">
            <w:pPr>
              <w:jc w:val="center"/>
              <w:rPr>
                <w:sz w:val="22"/>
                <w:szCs w:val="22"/>
              </w:rPr>
            </w:pPr>
          </w:p>
        </w:tc>
        <w:tc>
          <w:tcPr>
            <w:tcW w:w="840" w:type="dxa"/>
            <w:vMerge/>
            <w:shd w:val="clear" w:color="auto" w:fill="auto"/>
            <w:vAlign w:val="center"/>
            <w:hideMark/>
          </w:tcPr>
          <w:p w14:paraId="3C87956F" w14:textId="77777777" w:rsidR="000C35B1" w:rsidRPr="00AE261D" w:rsidRDefault="000C35B1" w:rsidP="00002C6B">
            <w:pPr>
              <w:jc w:val="center"/>
              <w:rPr>
                <w:sz w:val="22"/>
                <w:szCs w:val="22"/>
              </w:rPr>
            </w:pPr>
          </w:p>
        </w:tc>
        <w:tc>
          <w:tcPr>
            <w:tcW w:w="1030" w:type="dxa"/>
            <w:vMerge/>
            <w:shd w:val="clear" w:color="auto" w:fill="auto"/>
            <w:vAlign w:val="center"/>
            <w:hideMark/>
          </w:tcPr>
          <w:p w14:paraId="387C91B3" w14:textId="77777777" w:rsidR="000C35B1" w:rsidRPr="00AE261D" w:rsidRDefault="000C35B1" w:rsidP="00002C6B">
            <w:pPr>
              <w:jc w:val="center"/>
              <w:rPr>
                <w:sz w:val="22"/>
                <w:szCs w:val="22"/>
              </w:rPr>
            </w:pPr>
          </w:p>
        </w:tc>
        <w:tc>
          <w:tcPr>
            <w:tcW w:w="900" w:type="dxa"/>
            <w:vMerge/>
            <w:shd w:val="clear" w:color="auto" w:fill="auto"/>
            <w:vAlign w:val="center"/>
            <w:hideMark/>
          </w:tcPr>
          <w:p w14:paraId="1DEE59B8" w14:textId="77777777" w:rsidR="000C35B1" w:rsidRPr="00AE261D" w:rsidRDefault="000C35B1" w:rsidP="00002C6B">
            <w:pPr>
              <w:jc w:val="center"/>
              <w:rPr>
                <w:sz w:val="22"/>
                <w:szCs w:val="22"/>
              </w:rPr>
            </w:pPr>
          </w:p>
        </w:tc>
        <w:tc>
          <w:tcPr>
            <w:tcW w:w="1878" w:type="dxa"/>
            <w:vMerge/>
            <w:shd w:val="clear" w:color="auto" w:fill="auto"/>
            <w:vAlign w:val="center"/>
            <w:hideMark/>
          </w:tcPr>
          <w:p w14:paraId="5BF4AB94" w14:textId="77777777" w:rsidR="000C35B1" w:rsidRPr="00AE261D" w:rsidRDefault="000C35B1" w:rsidP="00002C6B">
            <w:pPr>
              <w:jc w:val="center"/>
              <w:rPr>
                <w:sz w:val="22"/>
                <w:szCs w:val="22"/>
              </w:rPr>
            </w:pPr>
          </w:p>
        </w:tc>
        <w:tc>
          <w:tcPr>
            <w:tcW w:w="1086" w:type="dxa"/>
            <w:vMerge/>
            <w:shd w:val="clear" w:color="auto" w:fill="auto"/>
            <w:vAlign w:val="center"/>
            <w:hideMark/>
          </w:tcPr>
          <w:p w14:paraId="54672E65" w14:textId="77777777" w:rsidR="000C35B1" w:rsidRPr="00AE261D" w:rsidRDefault="000C35B1" w:rsidP="00002C6B">
            <w:pPr>
              <w:jc w:val="center"/>
              <w:rPr>
                <w:sz w:val="22"/>
                <w:szCs w:val="22"/>
              </w:rPr>
            </w:pPr>
          </w:p>
        </w:tc>
        <w:tc>
          <w:tcPr>
            <w:tcW w:w="1316" w:type="dxa"/>
            <w:vMerge/>
            <w:shd w:val="clear" w:color="auto" w:fill="auto"/>
            <w:vAlign w:val="center"/>
            <w:hideMark/>
          </w:tcPr>
          <w:p w14:paraId="156BCC89" w14:textId="77777777" w:rsidR="000C35B1" w:rsidRPr="00AE261D" w:rsidRDefault="000C35B1" w:rsidP="00002C6B">
            <w:pPr>
              <w:jc w:val="center"/>
              <w:rPr>
                <w:sz w:val="22"/>
                <w:szCs w:val="22"/>
              </w:rPr>
            </w:pPr>
          </w:p>
        </w:tc>
        <w:tc>
          <w:tcPr>
            <w:tcW w:w="2190" w:type="dxa"/>
            <w:shd w:val="clear" w:color="auto" w:fill="auto"/>
            <w:vAlign w:val="center"/>
            <w:hideMark/>
          </w:tcPr>
          <w:p w14:paraId="63925033"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7F1BA9B6" w14:textId="77777777" w:rsidR="000C35B1" w:rsidRPr="00AE261D" w:rsidRDefault="000C35B1" w:rsidP="00002C6B">
            <w:pPr>
              <w:jc w:val="center"/>
              <w:rPr>
                <w:sz w:val="22"/>
                <w:szCs w:val="22"/>
              </w:rPr>
            </w:pPr>
          </w:p>
        </w:tc>
      </w:tr>
      <w:tr w:rsidR="00002C6B" w:rsidRPr="00AE261D" w14:paraId="385332CA" w14:textId="77777777" w:rsidTr="00DF3719">
        <w:trPr>
          <w:trHeight w:val="600"/>
        </w:trPr>
        <w:tc>
          <w:tcPr>
            <w:tcW w:w="632" w:type="dxa"/>
            <w:vMerge w:val="restart"/>
            <w:shd w:val="clear" w:color="auto" w:fill="auto"/>
            <w:vAlign w:val="center"/>
            <w:hideMark/>
          </w:tcPr>
          <w:p w14:paraId="4319B4D8" w14:textId="77777777" w:rsidR="000C35B1" w:rsidRPr="00AE261D" w:rsidRDefault="000C35B1" w:rsidP="00002C6B">
            <w:pPr>
              <w:jc w:val="center"/>
              <w:rPr>
                <w:sz w:val="22"/>
                <w:szCs w:val="22"/>
              </w:rPr>
            </w:pPr>
            <w:r w:rsidRPr="00AE261D">
              <w:rPr>
                <w:sz w:val="22"/>
                <w:szCs w:val="22"/>
              </w:rPr>
              <w:lastRenderedPageBreak/>
              <w:t>7</w:t>
            </w:r>
          </w:p>
        </w:tc>
        <w:tc>
          <w:tcPr>
            <w:tcW w:w="2504" w:type="dxa"/>
            <w:vMerge w:val="restart"/>
            <w:shd w:val="clear" w:color="auto" w:fill="auto"/>
            <w:vAlign w:val="center"/>
            <w:hideMark/>
          </w:tcPr>
          <w:p w14:paraId="4C3BAD51" w14:textId="77777777" w:rsidR="000C35B1" w:rsidRPr="00AE261D" w:rsidRDefault="000C35B1" w:rsidP="00002C6B">
            <w:pPr>
              <w:jc w:val="both"/>
              <w:rPr>
                <w:sz w:val="22"/>
                <w:szCs w:val="22"/>
              </w:rPr>
            </w:pPr>
            <w:r w:rsidRPr="00AE261D">
              <w:rPr>
                <w:sz w:val="22"/>
                <w:szCs w:val="22"/>
              </w:rPr>
              <w:t>Khu đất 4,7 ha tại thị trấn Trảng Bom</w:t>
            </w:r>
          </w:p>
        </w:tc>
        <w:tc>
          <w:tcPr>
            <w:tcW w:w="947" w:type="dxa"/>
            <w:vMerge w:val="restart"/>
            <w:shd w:val="clear" w:color="auto" w:fill="auto"/>
            <w:vAlign w:val="center"/>
            <w:hideMark/>
          </w:tcPr>
          <w:p w14:paraId="2874D704" w14:textId="77777777" w:rsidR="000C35B1" w:rsidRPr="00AE261D" w:rsidRDefault="000C35B1" w:rsidP="00002C6B">
            <w:pPr>
              <w:jc w:val="center"/>
              <w:rPr>
                <w:sz w:val="22"/>
                <w:szCs w:val="22"/>
              </w:rPr>
            </w:pPr>
            <w:r w:rsidRPr="00AE261D">
              <w:rPr>
                <w:sz w:val="22"/>
                <w:szCs w:val="22"/>
              </w:rPr>
              <w:t>Trảng Bom</w:t>
            </w:r>
          </w:p>
        </w:tc>
        <w:tc>
          <w:tcPr>
            <w:tcW w:w="829" w:type="dxa"/>
            <w:vMerge w:val="restart"/>
            <w:shd w:val="clear" w:color="auto" w:fill="auto"/>
            <w:vAlign w:val="center"/>
            <w:hideMark/>
          </w:tcPr>
          <w:p w14:paraId="25697F15" w14:textId="77777777" w:rsidR="000C35B1" w:rsidRPr="00AE261D" w:rsidRDefault="000C35B1" w:rsidP="00002C6B">
            <w:pPr>
              <w:jc w:val="center"/>
              <w:rPr>
                <w:sz w:val="22"/>
                <w:szCs w:val="22"/>
              </w:rPr>
            </w:pPr>
            <w:r w:rsidRPr="00AE261D">
              <w:rPr>
                <w:sz w:val="22"/>
                <w:szCs w:val="22"/>
              </w:rPr>
              <w:t>nhiều thửa</w:t>
            </w:r>
          </w:p>
        </w:tc>
        <w:tc>
          <w:tcPr>
            <w:tcW w:w="840" w:type="dxa"/>
            <w:vMerge w:val="restart"/>
            <w:shd w:val="clear" w:color="auto" w:fill="auto"/>
            <w:vAlign w:val="center"/>
            <w:hideMark/>
          </w:tcPr>
          <w:p w14:paraId="5B3D1F2B" w14:textId="77777777" w:rsidR="000C35B1" w:rsidRPr="00AE261D" w:rsidRDefault="000C35B1" w:rsidP="00002C6B">
            <w:pPr>
              <w:jc w:val="center"/>
              <w:rPr>
                <w:sz w:val="22"/>
                <w:szCs w:val="22"/>
              </w:rPr>
            </w:pPr>
            <w:r w:rsidRPr="00AE261D">
              <w:rPr>
                <w:sz w:val="22"/>
                <w:szCs w:val="22"/>
              </w:rPr>
              <w:t>12</w:t>
            </w:r>
          </w:p>
        </w:tc>
        <w:tc>
          <w:tcPr>
            <w:tcW w:w="1030" w:type="dxa"/>
            <w:vMerge w:val="restart"/>
            <w:shd w:val="clear" w:color="auto" w:fill="auto"/>
            <w:vAlign w:val="center"/>
            <w:hideMark/>
          </w:tcPr>
          <w:p w14:paraId="52E1ACF5" w14:textId="77777777" w:rsidR="000C35B1" w:rsidRPr="00AE261D" w:rsidRDefault="000C35B1" w:rsidP="00002C6B">
            <w:pPr>
              <w:jc w:val="center"/>
              <w:rPr>
                <w:sz w:val="22"/>
                <w:szCs w:val="22"/>
              </w:rPr>
            </w:pPr>
            <w:r w:rsidRPr="00AE261D">
              <w:rPr>
                <w:sz w:val="22"/>
                <w:szCs w:val="22"/>
              </w:rPr>
              <w:t>4,67</w:t>
            </w:r>
          </w:p>
        </w:tc>
        <w:tc>
          <w:tcPr>
            <w:tcW w:w="900" w:type="dxa"/>
            <w:vMerge w:val="restart"/>
            <w:shd w:val="clear" w:color="auto" w:fill="auto"/>
            <w:vAlign w:val="center"/>
            <w:hideMark/>
          </w:tcPr>
          <w:p w14:paraId="36B501E7" w14:textId="77777777" w:rsidR="000C35B1" w:rsidRPr="00AE261D" w:rsidRDefault="000C35B1" w:rsidP="00002C6B">
            <w:pPr>
              <w:jc w:val="center"/>
              <w:rPr>
                <w:sz w:val="22"/>
                <w:szCs w:val="22"/>
              </w:rPr>
            </w:pPr>
            <w:r w:rsidRPr="00AE261D">
              <w:rPr>
                <w:sz w:val="22"/>
                <w:szCs w:val="22"/>
              </w:rPr>
              <w:t>ODT</w:t>
            </w:r>
          </w:p>
        </w:tc>
        <w:tc>
          <w:tcPr>
            <w:tcW w:w="1878" w:type="dxa"/>
            <w:shd w:val="clear" w:color="auto" w:fill="auto"/>
            <w:vAlign w:val="center"/>
            <w:hideMark/>
          </w:tcPr>
          <w:p w14:paraId="5916DF05" w14:textId="77777777" w:rsidR="000C35B1" w:rsidRPr="00AE261D" w:rsidRDefault="000C35B1" w:rsidP="00002C6B">
            <w:pPr>
              <w:jc w:val="center"/>
              <w:rPr>
                <w:sz w:val="22"/>
                <w:szCs w:val="22"/>
              </w:rPr>
            </w:pPr>
            <w:r w:rsidRPr="00AE261D">
              <w:rPr>
                <w:sz w:val="22"/>
                <w:szCs w:val="22"/>
              </w:rPr>
              <w:t>122,91</w:t>
            </w:r>
          </w:p>
        </w:tc>
        <w:tc>
          <w:tcPr>
            <w:tcW w:w="1086" w:type="dxa"/>
            <w:vMerge w:val="restart"/>
            <w:shd w:val="clear" w:color="auto" w:fill="auto"/>
            <w:vAlign w:val="center"/>
            <w:hideMark/>
          </w:tcPr>
          <w:p w14:paraId="5D76B66E"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2E417E37" w14:textId="77777777" w:rsidR="000C35B1" w:rsidRPr="00AE261D" w:rsidRDefault="000C35B1" w:rsidP="00002C6B">
            <w:pPr>
              <w:jc w:val="center"/>
              <w:rPr>
                <w:sz w:val="22"/>
                <w:szCs w:val="22"/>
              </w:rPr>
            </w:pPr>
            <w:r w:rsidRPr="00AE261D">
              <w:rPr>
                <w:sz w:val="22"/>
                <w:szCs w:val="22"/>
              </w:rPr>
              <w:t>22.000.000</w:t>
            </w:r>
          </w:p>
        </w:tc>
        <w:tc>
          <w:tcPr>
            <w:tcW w:w="2190" w:type="dxa"/>
            <w:shd w:val="clear" w:color="auto" w:fill="auto"/>
            <w:vAlign w:val="center"/>
            <w:hideMark/>
          </w:tcPr>
          <w:p w14:paraId="2193DF2C" w14:textId="77777777" w:rsidR="000C35B1" w:rsidRPr="00AE261D" w:rsidRDefault="000C35B1" w:rsidP="00002C6B">
            <w:pPr>
              <w:jc w:val="center"/>
              <w:rPr>
                <w:sz w:val="22"/>
                <w:szCs w:val="22"/>
              </w:rPr>
            </w:pPr>
            <w:r w:rsidRPr="00AE261D">
              <w:rPr>
                <w:sz w:val="22"/>
                <w:szCs w:val="22"/>
              </w:rPr>
              <w:t>359,59</w:t>
            </w:r>
          </w:p>
        </w:tc>
        <w:tc>
          <w:tcPr>
            <w:tcW w:w="684" w:type="dxa"/>
            <w:vMerge w:val="restart"/>
            <w:shd w:val="clear" w:color="auto" w:fill="auto"/>
            <w:vAlign w:val="center"/>
            <w:hideMark/>
          </w:tcPr>
          <w:p w14:paraId="40E550A2" w14:textId="77777777" w:rsidR="000C35B1" w:rsidRPr="00AE261D" w:rsidRDefault="000C35B1" w:rsidP="00002C6B">
            <w:pPr>
              <w:jc w:val="center"/>
              <w:rPr>
                <w:sz w:val="22"/>
                <w:szCs w:val="22"/>
              </w:rPr>
            </w:pPr>
          </w:p>
        </w:tc>
      </w:tr>
      <w:tr w:rsidR="00002C6B" w:rsidRPr="00AE261D" w14:paraId="6F3C2971" w14:textId="77777777" w:rsidTr="00DF3719">
        <w:trPr>
          <w:trHeight w:val="1663"/>
        </w:trPr>
        <w:tc>
          <w:tcPr>
            <w:tcW w:w="632" w:type="dxa"/>
            <w:vMerge/>
            <w:shd w:val="clear" w:color="auto" w:fill="auto"/>
            <w:vAlign w:val="center"/>
            <w:hideMark/>
          </w:tcPr>
          <w:p w14:paraId="6AD04459" w14:textId="77777777" w:rsidR="000C35B1" w:rsidRPr="00AE261D" w:rsidRDefault="000C35B1" w:rsidP="00002C6B">
            <w:pPr>
              <w:jc w:val="center"/>
              <w:rPr>
                <w:sz w:val="22"/>
                <w:szCs w:val="22"/>
              </w:rPr>
            </w:pPr>
          </w:p>
        </w:tc>
        <w:tc>
          <w:tcPr>
            <w:tcW w:w="2504" w:type="dxa"/>
            <w:vMerge/>
            <w:shd w:val="clear" w:color="auto" w:fill="auto"/>
            <w:vAlign w:val="center"/>
            <w:hideMark/>
          </w:tcPr>
          <w:p w14:paraId="52DB09C9" w14:textId="77777777" w:rsidR="000C35B1" w:rsidRPr="00AE261D" w:rsidRDefault="000C35B1" w:rsidP="00002C6B">
            <w:pPr>
              <w:jc w:val="both"/>
              <w:rPr>
                <w:sz w:val="22"/>
                <w:szCs w:val="22"/>
              </w:rPr>
            </w:pPr>
          </w:p>
        </w:tc>
        <w:tc>
          <w:tcPr>
            <w:tcW w:w="947" w:type="dxa"/>
            <w:vMerge/>
            <w:shd w:val="clear" w:color="auto" w:fill="auto"/>
            <w:vAlign w:val="center"/>
            <w:hideMark/>
          </w:tcPr>
          <w:p w14:paraId="38133CCF" w14:textId="77777777" w:rsidR="000C35B1" w:rsidRPr="00AE261D" w:rsidRDefault="000C35B1" w:rsidP="00002C6B">
            <w:pPr>
              <w:jc w:val="center"/>
              <w:rPr>
                <w:sz w:val="22"/>
                <w:szCs w:val="22"/>
              </w:rPr>
            </w:pPr>
          </w:p>
        </w:tc>
        <w:tc>
          <w:tcPr>
            <w:tcW w:w="829" w:type="dxa"/>
            <w:vMerge/>
            <w:shd w:val="clear" w:color="auto" w:fill="auto"/>
            <w:vAlign w:val="center"/>
            <w:hideMark/>
          </w:tcPr>
          <w:p w14:paraId="5510B467" w14:textId="77777777" w:rsidR="000C35B1" w:rsidRPr="00AE261D" w:rsidRDefault="000C35B1" w:rsidP="00002C6B">
            <w:pPr>
              <w:jc w:val="center"/>
              <w:rPr>
                <w:sz w:val="22"/>
                <w:szCs w:val="22"/>
              </w:rPr>
            </w:pPr>
          </w:p>
        </w:tc>
        <w:tc>
          <w:tcPr>
            <w:tcW w:w="840" w:type="dxa"/>
            <w:vMerge/>
            <w:shd w:val="clear" w:color="auto" w:fill="auto"/>
            <w:vAlign w:val="center"/>
            <w:hideMark/>
          </w:tcPr>
          <w:p w14:paraId="7CE5C023" w14:textId="77777777" w:rsidR="000C35B1" w:rsidRPr="00AE261D" w:rsidRDefault="000C35B1" w:rsidP="00002C6B">
            <w:pPr>
              <w:jc w:val="center"/>
              <w:rPr>
                <w:sz w:val="22"/>
                <w:szCs w:val="22"/>
              </w:rPr>
            </w:pPr>
          </w:p>
        </w:tc>
        <w:tc>
          <w:tcPr>
            <w:tcW w:w="1030" w:type="dxa"/>
            <w:vMerge/>
            <w:shd w:val="clear" w:color="auto" w:fill="auto"/>
            <w:vAlign w:val="center"/>
            <w:hideMark/>
          </w:tcPr>
          <w:p w14:paraId="1508EE10" w14:textId="77777777" w:rsidR="000C35B1" w:rsidRPr="00AE261D" w:rsidRDefault="000C35B1" w:rsidP="00002C6B">
            <w:pPr>
              <w:jc w:val="center"/>
              <w:rPr>
                <w:sz w:val="22"/>
                <w:szCs w:val="22"/>
              </w:rPr>
            </w:pPr>
          </w:p>
        </w:tc>
        <w:tc>
          <w:tcPr>
            <w:tcW w:w="900" w:type="dxa"/>
            <w:vMerge/>
            <w:shd w:val="clear" w:color="auto" w:fill="auto"/>
            <w:vAlign w:val="center"/>
            <w:hideMark/>
          </w:tcPr>
          <w:p w14:paraId="12A18C4B" w14:textId="77777777" w:rsidR="000C35B1" w:rsidRPr="00AE261D" w:rsidRDefault="000C35B1" w:rsidP="00002C6B">
            <w:pPr>
              <w:jc w:val="center"/>
              <w:rPr>
                <w:sz w:val="22"/>
                <w:szCs w:val="22"/>
              </w:rPr>
            </w:pPr>
          </w:p>
        </w:tc>
        <w:tc>
          <w:tcPr>
            <w:tcW w:w="1878" w:type="dxa"/>
            <w:shd w:val="clear" w:color="auto" w:fill="auto"/>
            <w:vAlign w:val="center"/>
            <w:hideMark/>
          </w:tcPr>
          <w:p w14:paraId="5A8FE0BA"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5CAD2459" w14:textId="77777777" w:rsidR="000C35B1" w:rsidRPr="00AE261D" w:rsidRDefault="000C35B1" w:rsidP="00002C6B">
            <w:pPr>
              <w:jc w:val="center"/>
              <w:rPr>
                <w:sz w:val="22"/>
                <w:szCs w:val="22"/>
              </w:rPr>
            </w:pPr>
          </w:p>
        </w:tc>
        <w:tc>
          <w:tcPr>
            <w:tcW w:w="1316" w:type="dxa"/>
            <w:vMerge/>
            <w:shd w:val="clear" w:color="auto" w:fill="auto"/>
            <w:vAlign w:val="center"/>
            <w:hideMark/>
          </w:tcPr>
          <w:p w14:paraId="79584FEE" w14:textId="77777777" w:rsidR="000C35B1" w:rsidRPr="00AE261D" w:rsidRDefault="000C35B1" w:rsidP="00002C6B">
            <w:pPr>
              <w:jc w:val="center"/>
              <w:rPr>
                <w:sz w:val="22"/>
                <w:szCs w:val="22"/>
              </w:rPr>
            </w:pPr>
          </w:p>
        </w:tc>
        <w:tc>
          <w:tcPr>
            <w:tcW w:w="2190" w:type="dxa"/>
            <w:shd w:val="clear" w:color="auto" w:fill="auto"/>
            <w:vAlign w:val="center"/>
            <w:hideMark/>
          </w:tcPr>
          <w:p w14:paraId="4BFF695A"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p w14:paraId="20798055" w14:textId="77777777" w:rsidR="000C35B1" w:rsidRPr="00AE261D" w:rsidRDefault="000C35B1" w:rsidP="00002C6B">
            <w:pPr>
              <w:rPr>
                <w:sz w:val="22"/>
                <w:szCs w:val="22"/>
              </w:rPr>
            </w:pPr>
          </w:p>
        </w:tc>
        <w:tc>
          <w:tcPr>
            <w:tcW w:w="684" w:type="dxa"/>
            <w:vMerge/>
            <w:shd w:val="clear" w:color="auto" w:fill="auto"/>
            <w:vAlign w:val="center"/>
            <w:hideMark/>
          </w:tcPr>
          <w:p w14:paraId="703D0029" w14:textId="77777777" w:rsidR="000C35B1" w:rsidRPr="00AE261D" w:rsidRDefault="000C35B1" w:rsidP="00002C6B">
            <w:pPr>
              <w:jc w:val="center"/>
              <w:rPr>
                <w:sz w:val="22"/>
                <w:szCs w:val="22"/>
              </w:rPr>
            </w:pPr>
          </w:p>
        </w:tc>
      </w:tr>
      <w:tr w:rsidR="00002C6B" w:rsidRPr="00AE261D" w14:paraId="31590D4D" w14:textId="77777777" w:rsidTr="00C20CC4">
        <w:trPr>
          <w:trHeight w:val="659"/>
        </w:trPr>
        <w:tc>
          <w:tcPr>
            <w:tcW w:w="632" w:type="dxa"/>
            <w:vMerge w:val="restart"/>
            <w:shd w:val="clear" w:color="auto" w:fill="auto"/>
            <w:vAlign w:val="center"/>
            <w:hideMark/>
          </w:tcPr>
          <w:p w14:paraId="720EBA53" w14:textId="77777777" w:rsidR="000C35B1" w:rsidRPr="00AE261D" w:rsidRDefault="000C35B1" w:rsidP="00002C6B">
            <w:pPr>
              <w:jc w:val="center"/>
              <w:rPr>
                <w:sz w:val="22"/>
                <w:szCs w:val="22"/>
              </w:rPr>
            </w:pPr>
            <w:r w:rsidRPr="00AE261D">
              <w:rPr>
                <w:sz w:val="22"/>
                <w:szCs w:val="22"/>
              </w:rPr>
              <w:t>8</w:t>
            </w:r>
          </w:p>
        </w:tc>
        <w:tc>
          <w:tcPr>
            <w:tcW w:w="2504" w:type="dxa"/>
            <w:vMerge w:val="restart"/>
            <w:shd w:val="clear" w:color="auto" w:fill="auto"/>
            <w:vAlign w:val="center"/>
            <w:hideMark/>
          </w:tcPr>
          <w:p w14:paraId="3A0F001C" w14:textId="77777777" w:rsidR="000C35B1" w:rsidRPr="00AE261D" w:rsidRDefault="000C35B1" w:rsidP="00002C6B">
            <w:pPr>
              <w:jc w:val="both"/>
              <w:rPr>
                <w:sz w:val="22"/>
                <w:szCs w:val="22"/>
              </w:rPr>
            </w:pPr>
            <w:r w:rsidRPr="00AE261D">
              <w:rPr>
                <w:sz w:val="22"/>
                <w:szCs w:val="22"/>
              </w:rPr>
              <w:t>Khu đất 5,5 ha</w:t>
            </w:r>
            <w:r w:rsidRPr="00AE261D">
              <w:rPr>
                <w:sz w:val="22"/>
                <w:szCs w:val="22"/>
                <w:lang w:val="vi-VN"/>
              </w:rPr>
              <w:t xml:space="preserve"> tại</w:t>
            </w:r>
            <w:r w:rsidRPr="00AE261D">
              <w:rPr>
                <w:sz w:val="22"/>
                <w:szCs w:val="22"/>
              </w:rPr>
              <w:t xml:space="preserve"> thị trấn Trảng Bom</w:t>
            </w:r>
          </w:p>
        </w:tc>
        <w:tc>
          <w:tcPr>
            <w:tcW w:w="947" w:type="dxa"/>
            <w:vMerge w:val="restart"/>
            <w:shd w:val="clear" w:color="auto" w:fill="auto"/>
            <w:vAlign w:val="center"/>
            <w:hideMark/>
          </w:tcPr>
          <w:p w14:paraId="6C83F2AF" w14:textId="77777777" w:rsidR="000C35B1" w:rsidRPr="00AE261D" w:rsidRDefault="000C35B1" w:rsidP="00002C6B">
            <w:pPr>
              <w:jc w:val="center"/>
              <w:rPr>
                <w:sz w:val="22"/>
                <w:szCs w:val="22"/>
              </w:rPr>
            </w:pPr>
            <w:r w:rsidRPr="00AE261D">
              <w:rPr>
                <w:sz w:val="22"/>
                <w:szCs w:val="22"/>
              </w:rPr>
              <w:t>Trảng Bom</w:t>
            </w:r>
          </w:p>
        </w:tc>
        <w:tc>
          <w:tcPr>
            <w:tcW w:w="829" w:type="dxa"/>
            <w:vMerge w:val="restart"/>
            <w:shd w:val="clear" w:color="auto" w:fill="auto"/>
            <w:vAlign w:val="center"/>
            <w:hideMark/>
          </w:tcPr>
          <w:p w14:paraId="1D020C7A" w14:textId="77777777" w:rsidR="000C35B1" w:rsidRPr="00AE261D" w:rsidRDefault="000C35B1" w:rsidP="00002C6B">
            <w:pPr>
              <w:jc w:val="center"/>
              <w:rPr>
                <w:sz w:val="22"/>
                <w:szCs w:val="22"/>
              </w:rPr>
            </w:pPr>
            <w:r w:rsidRPr="00AE261D">
              <w:rPr>
                <w:sz w:val="22"/>
                <w:szCs w:val="22"/>
              </w:rPr>
              <w:t>nhiều thửa</w:t>
            </w:r>
          </w:p>
        </w:tc>
        <w:tc>
          <w:tcPr>
            <w:tcW w:w="840" w:type="dxa"/>
            <w:vMerge w:val="restart"/>
            <w:shd w:val="clear" w:color="auto" w:fill="auto"/>
            <w:vAlign w:val="center"/>
            <w:hideMark/>
          </w:tcPr>
          <w:p w14:paraId="72A5632F" w14:textId="77777777" w:rsidR="000C35B1" w:rsidRPr="00AE261D" w:rsidRDefault="000C35B1" w:rsidP="00002C6B">
            <w:pPr>
              <w:jc w:val="center"/>
              <w:rPr>
                <w:sz w:val="22"/>
                <w:szCs w:val="22"/>
              </w:rPr>
            </w:pPr>
            <w:r w:rsidRPr="00AE261D">
              <w:rPr>
                <w:sz w:val="22"/>
                <w:szCs w:val="22"/>
              </w:rPr>
              <w:t>12</w:t>
            </w:r>
          </w:p>
        </w:tc>
        <w:tc>
          <w:tcPr>
            <w:tcW w:w="1030" w:type="dxa"/>
            <w:vMerge w:val="restart"/>
            <w:shd w:val="clear" w:color="auto" w:fill="auto"/>
            <w:vAlign w:val="center"/>
            <w:hideMark/>
          </w:tcPr>
          <w:p w14:paraId="4DDAEB20" w14:textId="77777777" w:rsidR="000C35B1" w:rsidRPr="00AE261D" w:rsidRDefault="000C35B1" w:rsidP="00002C6B">
            <w:pPr>
              <w:jc w:val="center"/>
              <w:rPr>
                <w:sz w:val="22"/>
                <w:szCs w:val="22"/>
              </w:rPr>
            </w:pPr>
            <w:r w:rsidRPr="00AE261D">
              <w:rPr>
                <w:sz w:val="22"/>
                <w:szCs w:val="22"/>
              </w:rPr>
              <w:t>5,57</w:t>
            </w:r>
          </w:p>
        </w:tc>
        <w:tc>
          <w:tcPr>
            <w:tcW w:w="900" w:type="dxa"/>
            <w:vMerge w:val="restart"/>
            <w:shd w:val="clear" w:color="auto" w:fill="auto"/>
            <w:vAlign w:val="center"/>
            <w:hideMark/>
          </w:tcPr>
          <w:p w14:paraId="627AF793" w14:textId="77777777" w:rsidR="000C35B1" w:rsidRPr="00AE261D" w:rsidRDefault="000C35B1" w:rsidP="00002C6B">
            <w:pPr>
              <w:jc w:val="center"/>
              <w:rPr>
                <w:sz w:val="22"/>
                <w:szCs w:val="22"/>
              </w:rPr>
            </w:pPr>
            <w:r w:rsidRPr="00AE261D">
              <w:rPr>
                <w:sz w:val="22"/>
                <w:szCs w:val="22"/>
              </w:rPr>
              <w:t>ODT</w:t>
            </w:r>
          </w:p>
        </w:tc>
        <w:tc>
          <w:tcPr>
            <w:tcW w:w="1878" w:type="dxa"/>
            <w:shd w:val="clear" w:color="auto" w:fill="auto"/>
            <w:vAlign w:val="center"/>
            <w:hideMark/>
          </w:tcPr>
          <w:p w14:paraId="2278B126" w14:textId="77777777" w:rsidR="000C35B1" w:rsidRPr="00AE261D" w:rsidRDefault="000C35B1" w:rsidP="00002C6B">
            <w:pPr>
              <w:jc w:val="center"/>
              <w:rPr>
                <w:sz w:val="22"/>
                <w:szCs w:val="22"/>
              </w:rPr>
            </w:pPr>
            <w:r w:rsidRPr="00AE261D">
              <w:rPr>
                <w:sz w:val="22"/>
                <w:szCs w:val="22"/>
              </w:rPr>
              <w:t>146,60</w:t>
            </w:r>
          </w:p>
        </w:tc>
        <w:tc>
          <w:tcPr>
            <w:tcW w:w="1086" w:type="dxa"/>
            <w:vMerge w:val="restart"/>
            <w:shd w:val="clear" w:color="auto" w:fill="auto"/>
            <w:vAlign w:val="center"/>
            <w:hideMark/>
          </w:tcPr>
          <w:p w14:paraId="0B30C41E"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68E0670C" w14:textId="77777777" w:rsidR="000C35B1" w:rsidRPr="00AE261D" w:rsidRDefault="000C35B1" w:rsidP="00002C6B">
            <w:pPr>
              <w:jc w:val="center"/>
              <w:rPr>
                <w:sz w:val="22"/>
                <w:szCs w:val="22"/>
              </w:rPr>
            </w:pPr>
            <w:r w:rsidRPr="00AE261D">
              <w:rPr>
                <w:sz w:val="22"/>
                <w:szCs w:val="22"/>
              </w:rPr>
              <w:t>22.000.000</w:t>
            </w:r>
          </w:p>
        </w:tc>
        <w:tc>
          <w:tcPr>
            <w:tcW w:w="2190" w:type="dxa"/>
            <w:shd w:val="clear" w:color="auto" w:fill="auto"/>
            <w:vAlign w:val="center"/>
            <w:hideMark/>
          </w:tcPr>
          <w:p w14:paraId="03DE2163" w14:textId="77777777" w:rsidR="000C35B1" w:rsidRPr="00AE261D" w:rsidRDefault="000C35B1" w:rsidP="00002C6B">
            <w:pPr>
              <w:jc w:val="center"/>
              <w:rPr>
                <w:sz w:val="22"/>
                <w:szCs w:val="22"/>
              </w:rPr>
            </w:pPr>
            <w:r w:rsidRPr="00AE261D">
              <w:rPr>
                <w:sz w:val="22"/>
                <w:szCs w:val="22"/>
              </w:rPr>
              <w:t>428,89</w:t>
            </w:r>
          </w:p>
        </w:tc>
        <w:tc>
          <w:tcPr>
            <w:tcW w:w="684" w:type="dxa"/>
            <w:vMerge w:val="restart"/>
            <w:shd w:val="clear" w:color="auto" w:fill="auto"/>
            <w:vAlign w:val="center"/>
            <w:hideMark/>
          </w:tcPr>
          <w:p w14:paraId="7BB38743" w14:textId="77777777" w:rsidR="000C35B1" w:rsidRPr="00AE261D" w:rsidRDefault="000C35B1" w:rsidP="00002C6B">
            <w:pPr>
              <w:jc w:val="center"/>
              <w:rPr>
                <w:sz w:val="22"/>
                <w:szCs w:val="22"/>
              </w:rPr>
            </w:pPr>
          </w:p>
        </w:tc>
      </w:tr>
      <w:tr w:rsidR="00002C6B" w:rsidRPr="00AE261D" w14:paraId="2B51F219" w14:textId="77777777" w:rsidTr="00DF3719">
        <w:trPr>
          <w:trHeight w:val="1717"/>
        </w:trPr>
        <w:tc>
          <w:tcPr>
            <w:tcW w:w="632" w:type="dxa"/>
            <w:vMerge/>
            <w:shd w:val="clear" w:color="auto" w:fill="auto"/>
            <w:vAlign w:val="center"/>
            <w:hideMark/>
          </w:tcPr>
          <w:p w14:paraId="40601578" w14:textId="77777777" w:rsidR="000C35B1" w:rsidRPr="00AE261D" w:rsidRDefault="000C35B1" w:rsidP="00002C6B">
            <w:pPr>
              <w:jc w:val="center"/>
              <w:rPr>
                <w:sz w:val="22"/>
                <w:szCs w:val="22"/>
              </w:rPr>
            </w:pPr>
          </w:p>
        </w:tc>
        <w:tc>
          <w:tcPr>
            <w:tcW w:w="2504" w:type="dxa"/>
            <w:vMerge/>
            <w:shd w:val="clear" w:color="auto" w:fill="auto"/>
            <w:vAlign w:val="center"/>
            <w:hideMark/>
          </w:tcPr>
          <w:p w14:paraId="412475E9" w14:textId="77777777" w:rsidR="000C35B1" w:rsidRPr="00AE261D" w:rsidRDefault="000C35B1" w:rsidP="00002C6B">
            <w:pPr>
              <w:jc w:val="both"/>
              <w:rPr>
                <w:sz w:val="22"/>
                <w:szCs w:val="22"/>
              </w:rPr>
            </w:pPr>
          </w:p>
        </w:tc>
        <w:tc>
          <w:tcPr>
            <w:tcW w:w="947" w:type="dxa"/>
            <w:vMerge/>
            <w:shd w:val="clear" w:color="auto" w:fill="auto"/>
            <w:vAlign w:val="center"/>
            <w:hideMark/>
          </w:tcPr>
          <w:p w14:paraId="2ECC32E7" w14:textId="77777777" w:rsidR="000C35B1" w:rsidRPr="00AE261D" w:rsidRDefault="000C35B1" w:rsidP="00002C6B">
            <w:pPr>
              <w:jc w:val="center"/>
              <w:rPr>
                <w:sz w:val="22"/>
                <w:szCs w:val="22"/>
              </w:rPr>
            </w:pPr>
          </w:p>
        </w:tc>
        <w:tc>
          <w:tcPr>
            <w:tcW w:w="829" w:type="dxa"/>
            <w:vMerge/>
            <w:shd w:val="clear" w:color="auto" w:fill="auto"/>
            <w:vAlign w:val="center"/>
            <w:hideMark/>
          </w:tcPr>
          <w:p w14:paraId="6AC997CA" w14:textId="77777777" w:rsidR="000C35B1" w:rsidRPr="00AE261D" w:rsidRDefault="000C35B1" w:rsidP="00002C6B">
            <w:pPr>
              <w:jc w:val="center"/>
              <w:rPr>
                <w:sz w:val="22"/>
                <w:szCs w:val="22"/>
              </w:rPr>
            </w:pPr>
          </w:p>
        </w:tc>
        <w:tc>
          <w:tcPr>
            <w:tcW w:w="840" w:type="dxa"/>
            <w:vMerge/>
            <w:shd w:val="clear" w:color="auto" w:fill="auto"/>
            <w:vAlign w:val="center"/>
            <w:hideMark/>
          </w:tcPr>
          <w:p w14:paraId="52D11259" w14:textId="77777777" w:rsidR="000C35B1" w:rsidRPr="00AE261D" w:rsidRDefault="000C35B1" w:rsidP="00002C6B">
            <w:pPr>
              <w:jc w:val="center"/>
              <w:rPr>
                <w:sz w:val="22"/>
                <w:szCs w:val="22"/>
              </w:rPr>
            </w:pPr>
          </w:p>
        </w:tc>
        <w:tc>
          <w:tcPr>
            <w:tcW w:w="1030" w:type="dxa"/>
            <w:vMerge/>
            <w:shd w:val="clear" w:color="auto" w:fill="auto"/>
            <w:vAlign w:val="center"/>
            <w:hideMark/>
          </w:tcPr>
          <w:p w14:paraId="39B9C4D0" w14:textId="77777777" w:rsidR="000C35B1" w:rsidRPr="00AE261D" w:rsidRDefault="000C35B1" w:rsidP="00002C6B">
            <w:pPr>
              <w:jc w:val="center"/>
              <w:rPr>
                <w:sz w:val="22"/>
                <w:szCs w:val="22"/>
              </w:rPr>
            </w:pPr>
          </w:p>
        </w:tc>
        <w:tc>
          <w:tcPr>
            <w:tcW w:w="900" w:type="dxa"/>
            <w:vMerge/>
            <w:shd w:val="clear" w:color="auto" w:fill="auto"/>
            <w:vAlign w:val="center"/>
            <w:hideMark/>
          </w:tcPr>
          <w:p w14:paraId="26C0294B" w14:textId="77777777" w:rsidR="000C35B1" w:rsidRPr="00AE261D" w:rsidRDefault="000C35B1" w:rsidP="00002C6B">
            <w:pPr>
              <w:jc w:val="center"/>
              <w:rPr>
                <w:sz w:val="22"/>
                <w:szCs w:val="22"/>
              </w:rPr>
            </w:pPr>
          </w:p>
        </w:tc>
        <w:tc>
          <w:tcPr>
            <w:tcW w:w="1878" w:type="dxa"/>
            <w:shd w:val="clear" w:color="auto" w:fill="auto"/>
            <w:vAlign w:val="center"/>
            <w:hideMark/>
          </w:tcPr>
          <w:p w14:paraId="34FCF1E5"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66D8BB40" w14:textId="77777777" w:rsidR="000C35B1" w:rsidRPr="00AE261D" w:rsidRDefault="000C35B1" w:rsidP="00002C6B">
            <w:pPr>
              <w:jc w:val="center"/>
              <w:rPr>
                <w:sz w:val="22"/>
                <w:szCs w:val="22"/>
              </w:rPr>
            </w:pPr>
          </w:p>
        </w:tc>
        <w:tc>
          <w:tcPr>
            <w:tcW w:w="1316" w:type="dxa"/>
            <w:vMerge/>
            <w:shd w:val="clear" w:color="auto" w:fill="auto"/>
            <w:vAlign w:val="center"/>
            <w:hideMark/>
          </w:tcPr>
          <w:p w14:paraId="23947705" w14:textId="77777777" w:rsidR="000C35B1" w:rsidRPr="00AE261D" w:rsidRDefault="000C35B1" w:rsidP="00002C6B">
            <w:pPr>
              <w:jc w:val="center"/>
              <w:rPr>
                <w:sz w:val="22"/>
                <w:szCs w:val="22"/>
              </w:rPr>
            </w:pPr>
          </w:p>
        </w:tc>
        <w:tc>
          <w:tcPr>
            <w:tcW w:w="2190" w:type="dxa"/>
            <w:shd w:val="clear" w:color="auto" w:fill="auto"/>
            <w:vAlign w:val="center"/>
            <w:hideMark/>
          </w:tcPr>
          <w:p w14:paraId="11A6BC75"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44988C7A" w14:textId="77777777" w:rsidR="000C35B1" w:rsidRPr="00AE261D" w:rsidRDefault="000C35B1" w:rsidP="00002C6B">
            <w:pPr>
              <w:jc w:val="center"/>
              <w:rPr>
                <w:sz w:val="22"/>
                <w:szCs w:val="22"/>
              </w:rPr>
            </w:pPr>
          </w:p>
        </w:tc>
      </w:tr>
      <w:tr w:rsidR="00002C6B" w:rsidRPr="00AE261D" w14:paraId="74A37B7F" w14:textId="77777777" w:rsidTr="00C20CC4">
        <w:trPr>
          <w:trHeight w:val="473"/>
        </w:trPr>
        <w:tc>
          <w:tcPr>
            <w:tcW w:w="632" w:type="dxa"/>
            <w:vMerge w:val="restart"/>
            <w:shd w:val="clear" w:color="auto" w:fill="auto"/>
            <w:vAlign w:val="center"/>
            <w:hideMark/>
          </w:tcPr>
          <w:p w14:paraId="01C17164" w14:textId="77777777" w:rsidR="000C35B1" w:rsidRPr="00AE261D" w:rsidRDefault="000C35B1" w:rsidP="00002C6B">
            <w:pPr>
              <w:jc w:val="center"/>
              <w:rPr>
                <w:sz w:val="22"/>
                <w:szCs w:val="22"/>
              </w:rPr>
            </w:pPr>
            <w:r w:rsidRPr="00AE261D">
              <w:rPr>
                <w:sz w:val="22"/>
                <w:szCs w:val="22"/>
              </w:rPr>
              <w:t>9</w:t>
            </w:r>
          </w:p>
        </w:tc>
        <w:tc>
          <w:tcPr>
            <w:tcW w:w="2504" w:type="dxa"/>
            <w:vMerge w:val="restart"/>
            <w:shd w:val="clear" w:color="auto" w:fill="auto"/>
            <w:vAlign w:val="center"/>
            <w:hideMark/>
          </w:tcPr>
          <w:p w14:paraId="7527C7AA" w14:textId="77777777" w:rsidR="000C35B1" w:rsidRPr="00AE261D" w:rsidRDefault="000C35B1" w:rsidP="00002C6B">
            <w:pPr>
              <w:jc w:val="both"/>
              <w:rPr>
                <w:sz w:val="22"/>
                <w:szCs w:val="22"/>
              </w:rPr>
            </w:pPr>
            <w:r w:rsidRPr="00AE261D">
              <w:rPr>
                <w:sz w:val="22"/>
                <w:szCs w:val="22"/>
              </w:rPr>
              <w:t>Khu đất 50,0 ha tại xã Long Thành</w:t>
            </w:r>
          </w:p>
        </w:tc>
        <w:tc>
          <w:tcPr>
            <w:tcW w:w="947" w:type="dxa"/>
            <w:vMerge w:val="restart"/>
            <w:shd w:val="clear" w:color="auto" w:fill="auto"/>
            <w:vAlign w:val="center"/>
            <w:hideMark/>
          </w:tcPr>
          <w:p w14:paraId="1223C9C3" w14:textId="77777777" w:rsidR="000C35B1" w:rsidRPr="00AE261D" w:rsidRDefault="000C35B1" w:rsidP="00002C6B">
            <w:pPr>
              <w:jc w:val="center"/>
              <w:rPr>
                <w:sz w:val="22"/>
                <w:szCs w:val="22"/>
              </w:rPr>
            </w:pPr>
            <w:r w:rsidRPr="00AE261D">
              <w:rPr>
                <w:sz w:val="22"/>
                <w:szCs w:val="22"/>
              </w:rPr>
              <w:t>Long Thành</w:t>
            </w:r>
          </w:p>
        </w:tc>
        <w:tc>
          <w:tcPr>
            <w:tcW w:w="829" w:type="dxa"/>
            <w:vMerge w:val="restart"/>
            <w:shd w:val="clear" w:color="auto" w:fill="auto"/>
            <w:vAlign w:val="center"/>
            <w:hideMark/>
          </w:tcPr>
          <w:p w14:paraId="01FFF1C5" w14:textId="77777777" w:rsidR="000C35B1" w:rsidRPr="00AE261D" w:rsidRDefault="000C35B1" w:rsidP="00002C6B">
            <w:pPr>
              <w:jc w:val="center"/>
              <w:rPr>
                <w:sz w:val="22"/>
                <w:szCs w:val="22"/>
              </w:rPr>
            </w:pPr>
          </w:p>
        </w:tc>
        <w:tc>
          <w:tcPr>
            <w:tcW w:w="840" w:type="dxa"/>
            <w:vMerge w:val="restart"/>
            <w:shd w:val="clear" w:color="auto" w:fill="auto"/>
            <w:vAlign w:val="center"/>
            <w:hideMark/>
          </w:tcPr>
          <w:p w14:paraId="52EAC152" w14:textId="77777777" w:rsidR="000C35B1" w:rsidRPr="00AE261D" w:rsidRDefault="000C35B1" w:rsidP="00002C6B">
            <w:pPr>
              <w:jc w:val="center"/>
              <w:rPr>
                <w:sz w:val="22"/>
                <w:szCs w:val="22"/>
              </w:rPr>
            </w:pPr>
          </w:p>
        </w:tc>
        <w:tc>
          <w:tcPr>
            <w:tcW w:w="1030" w:type="dxa"/>
            <w:vMerge w:val="restart"/>
            <w:shd w:val="clear" w:color="auto" w:fill="auto"/>
            <w:vAlign w:val="center"/>
            <w:hideMark/>
          </w:tcPr>
          <w:p w14:paraId="13074DD2" w14:textId="77777777" w:rsidR="000C35B1" w:rsidRPr="00AE261D" w:rsidRDefault="000C35B1" w:rsidP="00002C6B">
            <w:pPr>
              <w:jc w:val="center"/>
              <w:rPr>
                <w:sz w:val="22"/>
                <w:szCs w:val="22"/>
              </w:rPr>
            </w:pPr>
            <w:r w:rsidRPr="00AE261D">
              <w:rPr>
                <w:sz w:val="22"/>
                <w:szCs w:val="22"/>
              </w:rPr>
              <w:t>50,00</w:t>
            </w:r>
          </w:p>
        </w:tc>
        <w:tc>
          <w:tcPr>
            <w:tcW w:w="900" w:type="dxa"/>
            <w:vMerge w:val="restart"/>
            <w:shd w:val="clear" w:color="auto" w:fill="auto"/>
            <w:vAlign w:val="center"/>
            <w:hideMark/>
          </w:tcPr>
          <w:p w14:paraId="1A413268" w14:textId="77777777" w:rsidR="000C35B1" w:rsidRPr="00AE261D" w:rsidRDefault="000C35B1" w:rsidP="00002C6B">
            <w:pPr>
              <w:jc w:val="center"/>
              <w:rPr>
                <w:sz w:val="22"/>
                <w:szCs w:val="22"/>
              </w:rPr>
            </w:pPr>
            <w:r w:rsidRPr="00AE261D">
              <w:rPr>
                <w:sz w:val="22"/>
                <w:szCs w:val="22"/>
              </w:rPr>
              <w:t>ONT</w:t>
            </w:r>
          </w:p>
        </w:tc>
        <w:tc>
          <w:tcPr>
            <w:tcW w:w="1878" w:type="dxa"/>
            <w:shd w:val="clear" w:color="auto" w:fill="auto"/>
            <w:vAlign w:val="center"/>
            <w:hideMark/>
          </w:tcPr>
          <w:p w14:paraId="52376D56" w14:textId="77777777" w:rsidR="000C35B1" w:rsidRPr="00AE261D" w:rsidRDefault="000C35B1" w:rsidP="00002C6B">
            <w:pPr>
              <w:jc w:val="center"/>
              <w:rPr>
                <w:sz w:val="22"/>
                <w:szCs w:val="22"/>
              </w:rPr>
            </w:pPr>
            <w:r w:rsidRPr="00AE261D">
              <w:rPr>
                <w:sz w:val="22"/>
                <w:szCs w:val="22"/>
              </w:rPr>
              <w:t>1.021,20</w:t>
            </w:r>
          </w:p>
        </w:tc>
        <w:tc>
          <w:tcPr>
            <w:tcW w:w="1086" w:type="dxa"/>
            <w:vMerge w:val="restart"/>
            <w:shd w:val="clear" w:color="auto" w:fill="auto"/>
            <w:vAlign w:val="center"/>
            <w:hideMark/>
          </w:tcPr>
          <w:p w14:paraId="336A66DE"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13F91856" w14:textId="77777777" w:rsidR="000C35B1" w:rsidRPr="00AE261D" w:rsidRDefault="000C35B1" w:rsidP="00002C6B">
            <w:pPr>
              <w:jc w:val="center"/>
              <w:rPr>
                <w:sz w:val="22"/>
                <w:szCs w:val="22"/>
              </w:rPr>
            </w:pPr>
            <w:r w:rsidRPr="00AE261D">
              <w:rPr>
                <w:sz w:val="22"/>
                <w:szCs w:val="22"/>
              </w:rPr>
              <w:t>22.000.000</w:t>
            </w:r>
          </w:p>
        </w:tc>
        <w:tc>
          <w:tcPr>
            <w:tcW w:w="2190" w:type="dxa"/>
            <w:shd w:val="clear" w:color="auto" w:fill="auto"/>
            <w:vAlign w:val="center"/>
            <w:hideMark/>
          </w:tcPr>
          <w:p w14:paraId="56274BDF" w14:textId="77777777" w:rsidR="000C35B1" w:rsidRPr="00AE261D" w:rsidRDefault="000C35B1" w:rsidP="00002C6B">
            <w:pPr>
              <w:jc w:val="center"/>
              <w:rPr>
                <w:sz w:val="22"/>
                <w:szCs w:val="22"/>
              </w:rPr>
            </w:pPr>
            <w:r w:rsidRPr="00AE261D">
              <w:rPr>
                <w:sz w:val="22"/>
                <w:szCs w:val="22"/>
              </w:rPr>
              <w:t>3.850,00</w:t>
            </w:r>
          </w:p>
        </w:tc>
        <w:tc>
          <w:tcPr>
            <w:tcW w:w="684" w:type="dxa"/>
            <w:vMerge w:val="restart"/>
            <w:shd w:val="clear" w:color="auto" w:fill="auto"/>
            <w:vAlign w:val="center"/>
            <w:hideMark/>
          </w:tcPr>
          <w:p w14:paraId="3C967F6E" w14:textId="77777777" w:rsidR="000C35B1" w:rsidRPr="00AE261D" w:rsidRDefault="000C35B1" w:rsidP="00002C6B">
            <w:pPr>
              <w:jc w:val="center"/>
              <w:rPr>
                <w:sz w:val="22"/>
                <w:szCs w:val="22"/>
              </w:rPr>
            </w:pPr>
          </w:p>
        </w:tc>
      </w:tr>
      <w:tr w:rsidR="00002C6B" w:rsidRPr="00AE261D" w14:paraId="7FECFCE7" w14:textId="77777777" w:rsidTr="00DF3719">
        <w:trPr>
          <w:trHeight w:val="1800"/>
        </w:trPr>
        <w:tc>
          <w:tcPr>
            <w:tcW w:w="632" w:type="dxa"/>
            <w:vMerge/>
            <w:shd w:val="clear" w:color="auto" w:fill="auto"/>
            <w:vAlign w:val="center"/>
            <w:hideMark/>
          </w:tcPr>
          <w:p w14:paraId="3EC59D7D" w14:textId="77777777" w:rsidR="000C35B1" w:rsidRPr="00AE261D" w:rsidRDefault="000C35B1" w:rsidP="00002C6B">
            <w:pPr>
              <w:jc w:val="center"/>
              <w:rPr>
                <w:sz w:val="22"/>
                <w:szCs w:val="22"/>
              </w:rPr>
            </w:pPr>
          </w:p>
        </w:tc>
        <w:tc>
          <w:tcPr>
            <w:tcW w:w="2504" w:type="dxa"/>
            <w:vMerge/>
            <w:shd w:val="clear" w:color="auto" w:fill="auto"/>
            <w:vAlign w:val="center"/>
            <w:hideMark/>
          </w:tcPr>
          <w:p w14:paraId="3E37A30C" w14:textId="77777777" w:rsidR="000C35B1" w:rsidRPr="00AE261D" w:rsidRDefault="000C35B1" w:rsidP="00002C6B">
            <w:pPr>
              <w:jc w:val="both"/>
              <w:rPr>
                <w:sz w:val="22"/>
                <w:szCs w:val="22"/>
              </w:rPr>
            </w:pPr>
          </w:p>
        </w:tc>
        <w:tc>
          <w:tcPr>
            <w:tcW w:w="947" w:type="dxa"/>
            <w:vMerge/>
            <w:shd w:val="clear" w:color="auto" w:fill="auto"/>
            <w:vAlign w:val="center"/>
            <w:hideMark/>
          </w:tcPr>
          <w:p w14:paraId="7776C6A4" w14:textId="77777777" w:rsidR="000C35B1" w:rsidRPr="00AE261D" w:rsidRDefault="000C35B1" w:rsidP="00002C6B">
            <w:pPr>
              <w:jc w:val="center"/>
              <w:rPr>
                <w:sz w:val="22"/>
                <w:szCs w:val="22"/>
              </w:rPr>
            </w:pPr>
          </w:p>
        </w:tc>
        <w:tc>
          <w:tcPr>
            <w:tcW w:w="829" w:type="dxa"/>
            <w:vMerge/>
            <w:shd w:val="clear" w:color="auto" w:fill="auto"/>
            <w:vAlign w:val="center"/>
            <w:hideMark/>
          </w:tcPr>
          <w:p w14:paraId="22AF8621" w14:textId="77777777" w:rsidR="000C35B1" w:rsidRPr="00AE261D" w:rsidRDefault="000C35B1" w:rsidP="00002C6B">
            <w:pPr>
              <w:jc w:val="center"/>
              <w:rPr>
                <w:sz w:val="22"/>
                <w:szCs w:val="22"/>
              </w:rPr>
            </w:pPr>
          </w:p>
        </w:tc>
        <w:tc>
          <w:tcPr>
            <w:tcW w:w="840" w:type="dxa"/>
            <w:vMerge/>
            <w:shd w:val="clear" w:color="auto" w:fill="auto"/>
            <w:vAlign w:val="center"/>
            <w:hideMark/>
          </w:tcPr>
          <w:p w14:paraId="42B95FE7" w14:textId="77777777" w:rsidR="000C35B1" w:rsidRPr="00AE261D" w:rsidRDefault="000C35B1" w:rsidP="00002C6B">
            <w:pPr>
              <w:jc w:val="center"/>
              <w:rPr>
                <w:sz w:val="22"/>
                <w:szCs w:val="22"/>
              </w:rPr>
            </w:pPr>
          </w:p>
        </w:tc>
        <w:tc>
          <w:tcPr>
            <w:tcW w:w="1030" w:type="dxa"/>
            <w:vMerge/>
            <w:shd w:val="clear" w:color="auto" w:fill="auto"/>
            <w:vAlign w:val="center"/>
            <w:hideMark/>
          </w:tcPr>
          <w:p w14:paraId="5CA0F86F" w14:textId="77777777" w:rsidR="000C35B1" w:rsidRPr="00AE261D" w:rsidRDefault="000C35B1" w:rsidP="00002C6B">
            <w:pPr>
              <w:jc w:val="center"/>
              <w:rPr>
                <w:sz w:val="22"/>
                <w:szCs w:val="22"/>
              </w:rPr>
            </w:pPr>
          </w:p>
        </w:tc>
        <w:tc>
          <w:tcPr>
            <w:tcW w:w="900" w:type="dxa"/>
            <w:vMerge/>
            <w:shd w:val="clear" w:color="auto" w:fill="auto"/>
            <w:vAlign w:val="center"/>
            <w:hideMark/>
          </w:tcPr>
          <w:p w14:paraId="26679A29" w14:textId="77777777" w:rsidR="000C35B1" w:rsidRPr="00AE261D" w:rsidRDefault="000C35B1" w:rsidP="00002C6B">
            <w:pPr>
              <w:jc w:val="center"/>
              <w:rPr>
                <w:sz w:val="22"/>
                <w:szCs w:val="22"/>
              </w:rPr>
            </w:pPr>
          </w:p>
        </w:tc>
        <w:tc>
          <w:tcPr>
            <w:tcW w:w="1878" w:type="dxa"/>
            <w:shd w:val="clear" w:color="auto" w:fill="auto"/>
            <w:vAlign w:val="center"/>
            <w:hideMark/>
          </w:tcPr>
          <w:p w14:paraId="6F91D695"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48E1FB1A" w14:textId="77777777" w:rsidR="000C35B1" w:rsidRPr="00AE261D" w:rsidRDefault="000C35B1" w:rsidP="00002C6B">
            <w:pPr>
              <w:jc w:val="center"/>
              <w:rPr>
                <w:sz w:val="22"/>
                <w:szCs w:val="22"/>
              </w:rPr>
            </w:pPr>
          </w:p>
        </w:tc>
        <w:tc>
          <w:tcPr>
            <w:tcW w:w="1316" w:type="dxa"/>
            <w:vMerge/>
            <w:shd w:val="clear" w:color="auto" w:fill="auto"/>
            <w:vAlign w:val="center"/>
            <w:hideMark/>
          </w:tcPr>
          <w:p w14:paraId="206B00B8" w14:textId="77777777" w:rsidR="000C35B1" w:rsidRPr="00AE261D" w:rsidRDefault="000C35B1" w:rsidP="00002C6B">
            <w:pPr>
              <w:jc w:val="center"/>
              <w:rPr>
                <w:sz w:val="22"/>
                <w:szCs w:val="22"/>
              </w:rPr>
            </w:pPr>
          </w:p>
        </w:tc>
        <w:tc>
          <w:tcPr>
            <w:tcW w:w="2190" w:type="dxa"/>
            <w:shd w:val="clear" w:color="auto" w:fill="auto"/>
            <w:vAlign w:val="center"/>
            <w:hideMark/>
          </w:tcPr>
          <w:p w14:paraId="44075861"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68D64A4B" w14:textId="77777777" w:rsidR="000C35B1" w:rsidRPr="00AE261D" w:rsidRDefault="000C35B1" w:rsidP="00002C6B">
            <w:pPr>
              <w:jc w:val="center"/>
              <w:rPr>
                <w:sz w:val="22"/>
                <w:szCs w:val="22"/>
              </w:rPr>
            </w:pPr>
          </w:p>
        </w:tc>
      </w:tr>
      <w:tr w:rsidR="00002C6B" w:rsidRPr="00AE261D" w14:paraId="7444F90D" w14:textId="77777777" w:rsidTr="00C20CC4">
        <w:trPr>
          <w:trHeight w:val="465"/>
        </w:trPr>
        <w:tc>
          <w:tcPr>
            <w:tcW w:w="632" w:type="dxa"/>
            <w:vMerge w:val="restart"/>
            <w:shd w:val="clear" w:color="auto" w:fill="auto"/>
            <w:vAlign w:val="center"/>
            <w:hideMark/>
          </w:tcPr>
          <w:p w14:paraId="41AF2C12" w14:textId="77777777" w:rsidR="000C35B1" w:rsidRPr="00AE261D" w:rsidRDefault="000C35B1" w:rsidP="00C20CC4">
            <w:pPr>
              <w:spacing w:before="60" w:after="60"/>
              <w:jc w:val="center"/>
              <w:rPr>
                <w:sz w:val="22"/>
                <w:szCs w:val="22"/>
              </w:rPr>
            </w:pPr>
            <w:r w:rsidRPr="00AE261D">
              <w:rPr>
                <w:sz w:val="22"/>
                <w:szCs w:val="22"/>
              </w:rPr>
              <w:lastRenderedPageBreak/>
              <w:t>10</w:t>
            </w:r>
          </w:p>
        </w:tc>
        <w:tc>
          <w:tcPr>
            <w:tcW w:w="2504" w:type="dxa"/>
            <w:vMerge w:val="restart"/>
            <w:shd w:val="clear" w:color="auto" w:fill="auto"/>
            <w:vAlign w:val="center"/>
            <w:hideMark/>
          </w:tcPr>
          <w:p w14:paraId="783A75A5" w14:textId="77777777" w:rsidR="000C35B1" w:rsidRPr="00AE261D" w:rsidRDefault="000C35B1" w:rsidP="00C20CC4">
            <w:pPr>
              <w:spacing w:before="60" w:after="60"/>
              <w:jc w:val="both"/>
              <w:rPr>
                <w:sz w:val="22"/>
                <w:szCs w:val="22"/>
              </w:rPr>
            </w:pPr>
            <w:r w:rsidRPr="00AE261D">
              <w:rPr>
                <w:sz w:val="22"/>
                <w:szCs w:val="22"/>
              </w:rPr>
              <w:t>Khu đất 214,0 ha tại xã Long Thành</w:t>
            </w:r>
          </w:p>
        </w:tc>
        <w:tc>
          <w:tcPr>
            <w:tcW w:w="947" w:type="dxa"/>
            <w:vMerge w:val="restart"/>
            <w:shd w:val="clear" w:color="auto" w:fill="auto"/>
            <w:vAlign w:val="center"/>
            <w:hideMark/>
          </w:tcPr>
          <w:p w14:paraId="75C0233D" w14:textId="77777777" w:rsidR="000C35B1" w:rsidRPr="00AE261D" w:rsidRDefault="000C35B1" w:rsidP="00C20CC4">
            <w:pPr>
              <w:spacing w:before="60" w:after="60"/>
              <w:jc w:val="center"/>
              <w:rPr>
                <w:sz w:val="22"/>
                <w:szCs w:val="22"/>
              </w:rPr>
            </w:pPr>
            <w:r w:rsidRPr="00AE261D">
              <w:rPr>
                <w:sz w:val="22"/>
                <w:szCs w:val="22"/>
              </w:rPr>
              <w:t>Long Thành</w:t>
            </w:r>
          </w:p>
        </w:tc>
        <w:tc>
          <w:tcPr>
            <w:tcW w:w="829" w:type="dxa"/>
            <w:vMerge w:val="restart"/>
            <w:shd w:val="clear" w:color="auto" w:fill="auto"/>
            <w:vAlign w:val="center"/>
            <w:hideMark/>
          </w:tcPr>
          <w:p w14:paraId="6714D55E" w14:textId="77777777" w:rsidR="000C35B1" w:rsidRPr="00AE261D" w:rsidRDefault="000C35B1" w:rsidP="00C20CC4">
            <w:pPr>
              <w:spacing w:before="60" w:after="60"/>
              <w:jc w:val="center"/>
              <w:rPr>
                <w:sz w:val="22"/>
                <w:szCs w:val="22"/>
              </w:rPr>
            </w:pPr>
          </w:p>
        </w:tc>
        <w:tc>
          <w:tcPr>
            <w:tcW w:w="840" w:type="dxa"/>
            <w:vMerge w:val="restart"/>
            <w:shd w:val="clear" w:color="auto" w:fill="auto"/>
            <w:vAlign w:val="center"/>
            <w:hideMark/>
          </w:tcPr>
          <w:p w14:paraId="254A5AE1" w14:textId="77777777" w:rsidR="000C35B1" w:rsidRPr="00AE261D" w:rsidRDefault="000C35B1" w:rsidP="00C20CC4">
            <w:pPr>
              <w:spacing w:before="60" w:after="60"/>
              <w:jc w:val="center"/>
              <w:rPr>
                <w:sz w:val="22"/>
                <w:szCs w:val="22"/>
              </w:rPr>
            </w:pPr>
          </w:p>
        </w:tc>
        <w:tc>
          <w:tcPr>
            <w:tcW w:w="1030" w:type="dxa"/>
            <w:vMerge w:val="restart"/>
            <w:shd w:val="clear" w:color="auto" w:fill="auto"/>
            <w:vAlign w:val="center"/>
            <w:hideMark/>
          </w:tcPr>
          <w:p w14:paraId="308D3A83" w14:textId="77777777" w:rsidR="000C35B1" w:rsidRPr="00AE261D" w:rsidRDefault="000C35B1" w:rsidP="00C20CC4">
            <w:pPr>
              <w:spacing w:before="60" w:after="60"/>
              <w:jc w:val="center"/>
              <w:rPr>
                <w:sz w:val="22"/>
                <w:szCs w:val="22"/>
              </w:rPr>
            </w:pPr>
            <w:r w:rsidRPr="00AE261D">
              <w:rPr>
                <w:sz w:val="22"/>
                <w:szCs w:val="22"/>
              </w:rPr>
              <w:t>214,00</w:t>
            </w:r>
          </w:p>
        </w:tc>
        <w:tc>
          <w:tcPr>
            <w:tcW w:w="900" w:type="dxa"/>
            <w:vMerge w:val="restart"/>
            <w:shd w:val="clear" w:color="auto" w:fill="auto"/>
            <w:vAlign w:val="center"/>
            <w:hideMark/>
          </w:tcPr>
          <w:p w14:paraId="350A8616" w14:textId="77777777" w:rsidR="000C35B1" w:rsidRPr="00AE261D" w:rsidRDefault="000C35B1" w:rsidP="00C20CC4">
            <w:pPr>
              <w:spacing w:before="60" w:after="60"/>
              <w:jc w:val="center"/>
              <w:rPr>
                <w:sz w:val="22"/>
                <w:szCs w:val="22"/>
              </w:rPr>
            </w:pPr>
            <w:r w:rsidRPr="00AE261D">
              <w:rPr>
                <w:sz w:val="22"/>
                <w:szCs w:val="22"/>
              </w:rPr>
              <w:t>ONT</w:t>
            </w:r>
          </w:p>
        </w:tc>
        <w:tc>
          <w:tcPr>
            <w:tcW w:w="1878" w:type="dxa"/>
            <w:shd w:val="clear" w:color="auto" w:fill="auto"/>
            <w:vAlign w:val="center"/>
            <w:hideMark/>
          </w:tcPr>
          <w:p w14:paraId="6FC6D34E" w14:textId="77777777" w:rsidR="000C35B1" w:rsidRPr="00AE261D" w:rsidRDefault="000C35B1" w:rsidP="00C20CC4">
            <w:pPr>
              <w:spacing w:before="60" w:after="60"/>
              <w:jc w:val="center"/>
              <w:rPr>
                <w:sz w:val="22"/>
                <w:szCs w:val="22"/>
              </w:rPr>
            </w:pPr>
            <w:r w:rsidRPr="00AE261D">
              <w:rPr>
                <w:sz w:val="22"/>
                <w:szCs w:val="22"/>
              </w:rPr>
              <w:t>3.059,52</w:t>
            </w:r>
          </w:p>
        </w:tc>
        <w:tc>
          <w:tcPr>
            <w:tcW w:w="1086" w:type="dxa"/>
            <w:vMerge w:val="restart"/>
            <w:shd w:val="clear" w:color="auto" w:fill="auto"/>
            <w:vAlign w:val="center"/>
            <w:hideMark/>
          </w:tcPr>
          <w:p w14:paraId="39A544F5" w14:textId="77777777" w:rsidR="000C35B1" w:rsidRPr="00AE261D" w:rsidRDefault="000C35B1" w:rsidP="00C20CC4">
            <w:pPr>
              <w:spacing w:before="60" w:after="60"/>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14533AF5" w14:textId="77777777" w:rsidR="000C35B1" w:rsidRPr="00AE261D" w:rsidRDefault="000C35B1" w:rsidP="00C20CC4">
            <w:pPr>
              <w:spacing w:before="60" w:after="60"/>
              <w:jc w:val="center"/>
              <w:rPr>
                <w:sz w:val="22"/>
                <w:szCs w:val="22"/>
              </w:rPr>
            </w:pPr>
            <w:r w:rsidRPr="00AE261D">
              <w:rPr>
                <w:sz w:val="22"/>
                <w:szCs w:val="22"/>
              </w:rPr>
              <w:t>18.000.000</w:t>
            </w:r>
          </w:p>
        </w:tc>
        <w:tc>
          <w:tcPr>
            <w:tcW w:w="2190" w:type="dxa"/>
            <w:shd w:val="clear" w:color="auto" w:fill="auto"/>
            <w:vAlign w:val="center"/>
            <w:hideMark/>
          </w:tcPr>
          <w:p w14:paraId="58097536" w14:textId="77777777" w:rsidR="000C35B1" w:rsidRPr="00AE261D" w:rsidRDefault="000C35B1" w:rsidP="00C20CC4">
            <w:pPr>
              <w:spacing w:before="60" w:after="60"/>
              <w:jc w:val="center"/>
              <w:rPr>
                <w:sz w:val="22"/>
                <w:szCs w:val="22"/>
              </w:rPr>
            </w:pPr>
            <w:r w:rsidRPr="00AE261D">
              <w:rPr>
                <w:sz w:val="22"/>
                <w:szCs w:val="22"/>
              </w:rPr>
              <w:t>13.482,00</w:t>
            </w:r>
          </w:p>
        </w:tc>
        <w:tc>
          <w:tcPr>
            <w:tcW w:w="684" w:type="dxa"/>
            <w:vMerge w:val="restart"/>
            <w:shd w:val="clear" w:color="auto" w:fill="auto"/>
            <w:vAlign w:val="center"/>
            <w:hideMark/>
          </w:tcPr>
          <w:p w14:paraId="7DE278E6" w14:textId="77777777" w:rsidR="000C35B1" w:rsidRPr="00AE261D" w:rsidRDefault="000C35B1" w:rsidP="00C20CC4">
            <w:pPr>
              <w:spacing w:before="60" w:after="60"/>
              <w:jc w:val="center"/>
              <w:rPr>
                <w:sz w:val="22"/>
                <w:szCs w:val="22"/>
              </w:rPr>
            </w:pPr>
          </w:p>
        </w:tc>
      </w:tr>
      <w:tr w:rsidR="00002C6B" w:rsidRPr="00AE261D" w14:paraId="52B979FD" w14:textId="77777777" w:rsidTr="00DF3719">
        <w:trPr>
          <w:trHeight w:val="1658"/>
        </w:trPr>
        <w:tc>
          <w:tcPr>
            <w:tcW w:w="632" w:type="dxa"/>
            <w:vMerge/>
            <w:shd w:val="clear" w:color="auto" w:fill="auto"/>
            <w:vAlign w:val="center"/>
            <w:hideMark/>
          </w:tcPr>
          <w:p w14:paraId="15135E56" w14:textId="77777777" w:rsidR="000C35B1" w:rsidRPr="00AE261D" w:rsidRDefault="000C35B1" w:rsidP="00C20CC4">
            <w:pPr>
              <w:spacing w:before="60" w:after="60"/>
              <w:jc w:val="center"/>
              <w:rPr>
                <w:sz w:val="22"/>
                <w:szCs w:val="22"/>
              </w:rPr>
            </w:pPr>
          </w:p>
        </w:tc>
        <w:tc>
          <w:tcPr>
            <w:tcW w:w="2504" w:type="dxa"/>
            <w:vMerge/>
            <w:shd w:val="clear" w:color="auto" w:fill="auto"/>
            <w:vAlign w:val="center"/>
            <w:hideMark/>
          </w:tcPr>
          <w:p w14:paraId="2316D166" w14:textId="77777777" w:rsidR="000C35B1" w:rsidRPr="00AE261D" w:rsidRDefault="000C35B1" w:rsidP="00C20CC4">
            <w:pPr>
              <w:spacing w:before="60" w:after="60"/>
              <w:jc w:val="both"/>
              <w:rPr>
                <w:sz w:val="22"/>
                <w:szCs w:val="22"/>
              </w:rPr>
            </w:pPr>
          </w:p>
        </w:tc>
        <w:tc>
          <w:tcPr>
            <w:tcW w:w="947" w:type="dxa"/>
            <w:vMerge/>
            <w:shd w:val="clear" w:color="auto" w:fill="auto"/>
            <w:vAlign w:val="center"/>
            <w:hideMark/>
          </w:tcPr>
          <w:p w14:paraId="3D6C0CD2" w14:textId="77777777" w:rsidR="000C35B1" w:rsidRPr="00AE261D" w:rsidRDefault="000C35B1" w:rsidP="00C20CC4">
            <w:pPr>
              <w:spacing w:before="60" w:after="60"/>
              <w:jc w:val="center"/>
              <w:rPr>
                <w:sz w:val="22"/>
                <w:szCs w:val="22"/>
              </w:rPr>
            </w:pPr>
          </w:p>
        </w:tc>
        <w:tc>
          <w:tcPr>
            <w:tcW w:w="829" w:type="dxa"/>
            <w:vMerge/>
            <w:shd w:val="clear" w:color="auto" w:fill="auto"/>
            <w:vAlign w:val="center"/>
            <w:hideMark/>
          </w:tcPr>
          <w:p w14:paraId="7534BB2A" w14:textId="77777777" w:rsidR="000C35B1" w:rsidRPr="00AE261D" w:rsidRDefault="000C35B1" w:rsidP="00C20CC4">
            <w:pPr>
              <w:spacing w:before="60" w:after="60"/>
              <w:jc w:val="center"/>
              <w:rPr>
                <w:sz w:val="22"/>
                <w:szCs w:val="22"/>
              </w:rPr>
            </w:pPr>
          </w:p>
        </w:tc>
        <w:tc>
          <w:tcPr>
            <w:tcW w:w="840" w:type="dxa"/>
            <w:vMerge/>
            <w:shd w:val="clear" w:color="auto" w:fill="auto"/>
            <w:vAlign w:val="center"/>
            <w:hideMark/>
          </w:tcPr>
          <w:p w14:paraId="02FD2329" w14:textId="77777777" w:rsidR="000C35B1" w:rsidRPr="00AE261D" w:rsidRDefault="000C35B1" w:rsidP="00C20CC4">
            <w:pPr>
              <w:spacing w:before="60" w:after="60"/>
              <w:jc w:val="center"/>
              <w:rPr>
                <w:sz w:val="22"/>
                <w:szCs w:val="22"/>
              </w:rPr>
            </w:pPr>
          </w:p>
        </w:tc>
        <w:tc>
          <w:tcPr>
            <w:tcW w:w="1030" w:type="dxa"/>
            <w:vMerge/>
            <w:shd w:val="clear" w:color="auto" w:fill="auto"/>
            <w:vAlign w:val="center"/>
            <w:hideMark/>
          </w:tcPr>
          <w:p w14:paraId="443A9AC2" w14:textId="77777777" w:rsidR="000C35B1" w:rsidRPr="00AE261D" w:rsidRDefault="000C35B1" w:rsidP="00C20CC4">
            <w:pPr>
              <w:spacing w:before="60" w:after="60"/>
              <w:jc w:val="center"/>
              <w:rPr>
                <w:sz w:val="22"/>
                <w:szCs w:val="22"/>
              </w:rPr>
            </w:pPr>
          </w:p>
        </w:tc>
        <w:tc>
          <w:tcPr>
            <w:tcW w:w="900" w:type="dxa"/>
            <w:vMerge/>
            <w:shd w:val="clear" w:color="auto" w:fill="auto"/>
            <w:vAlign w:val="center"/>
            <w:hideMark/>
          </w:tcPr>
          <w:p w14:paraId="174FED88" w14:textId="77777777" w:rsidR="000C35B1" w:rsidRPr="00AE261D" w:rsidRDefault="000C35B1" w:rsidP="00C20CC4">
            <w:pPr>
              <w:spacing w:before="60" w:after="60"/>
              <w:jc w:val="center"/>
              <w:rPr>
                <w:sz w:val="22"/>
                <w:szCs w:val="22"/>
              </w:rPr>
            </w:pPr>
          </w:p>
        </w:tc>
        <w:tc>
          <w:tcPr>
            <w:tcW w:w="1878" w:type="dxa"/>
            <w:shd w:val="clear" w:color="auto" w:fill="auto"/>
            <w:vAlign w:val="center"/>
            <w:hideMark/>
          </w:tcPr>
          <w:p w14:paraId="705837D8" w14:textId="45CE659E" w:rsidR="000C35B1" w:rsidRPr="00AE261D" w:rsidRDefault="00CA7EA4" w:rsidP="00C20CC4">
            <w:pPr>
              <w:spacing w:before="60" w:after="60"/>
              <w:rPr>
                <w:sz w:val="22"/>
                <w:szCs w:val="22"/>
                <w:lang w:val="vi-VN"/>
              </w:rPr>
            </w:pPr>
            <w:r w:rsidRPr="00AE261D">
              <w:rPr>
                <w:sz w:val="22"/>
                <w:szCs w:val="22"/>
              </w:rPr>
              <w:t xml:space="preserve">Tạm tính: </w:t>
            </w:r>
            <w:r w:rsidRPr="00AE261D">
              <w:rPr>
                <w:sz w:val="22"/>
                <w:szCs w:val="22"/>
              </w:rPr>
              <w:br/>
              <w:t>- Diện tích đất t</w:t>
            </w:r>
            <w:r w:rsidR="000C35B1" w:rsidRPr="00AE261D">
              <w:rPr>
                <w:sz w:val="22"/>
                <w:szCs w:val="22"/>
              </w:rPr>
              <w:t>hương phẩm quy đổi ra Đất ở khoảng 50% Tổng diện tích đất;</w:t>
            </w:r>
            <w:r w:rsidR="000C35B1" w:rsidRPr="00AE261D">
              <w:rPr>
                <w:sz w:val="22"/>
                <w:szCs w:val="22"/>
              </w:rPr>
              <w:br/>
              <w:t xml:space="preserve">- Bảng giá đất </w:t>
            </w:r>
            <w:r w:rsidR="000C35B1" w:rsidRPr="00AE261D">
              <w:rPr>
                <w:sz w:val="22"/>
                <w:szCs w:val="22"/>
                <w:lang w:val="vi-VN"/>
              </w:rPr>
              <w:t>hằng năm</w:t>
            </w:r>
          </w:p>
        </w:tc>
        <w:tc>
          <w:tcPr>
            <w:tcW w:w="1086" w:type="dxa"/>
            <w:vMerge/>
            <w:shd w:val="clear" w:color="auto" w:fill="auto"/>
            <w:vAlign w:val="center"/>
            <w:hideMark/>
          </w:tcPr>
          <w:p w14:paraId="03635794" w14:textId="77777777" w:rsidR="000C35B1" w:rsidRPr="00AE261D" w:rsidRDefault="000C35B1" w:rsidP="00C20CC4">
            <w:pPr>
              <w:spacing w:before="60" w:after="60"/>
              <w:jc w:val="center"/>
              <w:rPr>
                <w:sz w:val="22"/>
                <w:szCs w:val="22"/>
              </w:rPr>
            </w:pPr>
          </w:p>
        </w:tc>
        <w:tc>
          <w:tcPr>
            <w:tcW w:w="1316" w:type="dxa"/>
            <w:vMerge/>
            <w:shd w:val="clear" w:color="auto" w:fill="auto"/>
            <w:vAlign w:val="center"/>
            <w:hideMark/>
          </w:tcPr>
          <w:p w14:paraId="152370DB" w14:textId="77777777" w:rsidR="000C35B1" w:rsidRPr="00AE261D" w:rsidRDefault="000C35B1" w:rsidP="00C20CC4">
            <w:pPr>
              <w:spacing w:before="60" w:after="60"/>
              <w:jc w:val="center"/>
              <w:rPr>
                <w:sz w:val="22"/>
                <w:szCs w:val="22"/>
              </w:rPr>
            </w:pPr>
          </w:p>
        </w:tc>
        <w:tc>
          <w:tcPr>
            <w:tcW w:w="2190" w:type="dxa"/>
            <w:shd w:val="clear" w:color="auto" w:fill="auto"/>
            <w:vAlign w:val="center"/>
            <w:hideMark/>
          </w:tcPr>
          <w:p w14:paraId="0BAD3BDB" w14:textId="77777777" w:rsidR="000C35B1" w:rsidRPr="00AE261D" w:rsidRDefault="000C35B1" w:rsidP="00C20CC4">
            <w:pPr>
              <w:spacing w:before="60" w:after="60"/>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0FDE002D" w14:textId="77777777" w:rsidR="000C35B1" w:rsidRPr="00AE261D" w:rsidRDefault="000C35B1" w:rsidP="00C20CC4">
            <w:pPr>
              <w:spacing w:before="60" w:after="60"/>
              <w:jc w:val="center"/>
              <w:rPr>
                <w:sz w:val="22"/>
                <w:szCs w:val="22"/>
              </w:rPr>
            </w:pPr>
          </w:p>
        </w:tc>
      </w:tr>
      <w:tr w:rsidR="00002C6B" w:rsidRPr="00AE261D" w14:paraId="19233D58" w14:textId="77777777" w:rsidTr="00C20CC4">
        <w:trPr>
          <w:trHeight w:val="477"/>
        </w:trPr>
        <w:tc>
          <w:tcPr>
            <w:tcW w:w="632" w:type="dxa"/>
            <w:vMerge w:val="restart"/>
            <w:shd w:val="clear" w:color="auto" w:fill="auto"/>
            <w:vAlign w:val="center"/>
            <w:hideMark/>
          </w:tcPr>
          <w:p w14:paraId="3089CF3B" w14:textId="77777777" w:rsidR="000C35B1" w:rsidRPr="00AE261D" w:rsidRDefault="000C35B1" w:rsidP="00C20CC4">
            <w:pPr>
              <w:spacing w:before="60" w:after="60"/>
              <w:jc w:val="center"/>
              <w:rPr>
                <w:sz w:val="22"/>
                <w:szCs w:val="22"/>
              </w:rPr>
            </w:pPr>
            <w:r w:rsidRPr="00AE261D">
              <w:rPr>
                <w:sz w:val="22"/>
                <w:szCs w:val="22"/>
              </w:rPr>
              <w:t>11</w:t>
            </w:r>
          </w:p>
        </w:tc>
        <w:tc>
          <w:tcPr>
            <w:tcW w:w="2504" w:type="dxa"/>
            <w:vMerge w:val="restart"/>
            <w:shd w:val="clear" w:color="auto" w:fill="auto"/>
            <w:vAlign w:val="center"/>
            <w:hideMark/>
          </w:tcPr>
          <w:p w14:paraId="31DFC8A0" w14:textId="1360CB24" w:rsidR="000C35B1" w:rsidRPr="00AE261D" w:rsidRDefault="000C35B1" w:rsidP="00C20CC4">
            <w:pPr>
              <w:spacing w:before="60" w:after="60"/>
              <w:jc w:val="both"/>
              <w:rPr>
                <w:sz w:val="22"/>
                <w:szCs w:val="22"/>
              </w:rPr>
            </w:pPr>
            <w:r w:rsidRPr="00AE261D">
              <w:rPr>
                <w:sz w:val="22"/>
                <w:szCs w:val="22"/>
              </w:rPr>
              <w:t>Khu đất 85,0</w:t>
            </w:r>
            <w:r w:rsidR="004E188A" w:rsidRPr="00AE261D">
              <w:rPr>
                <w:sz w:val="22"/>
                <w:szCs w:val="22"/>
              </w:rPr>
              <w:t xml:space="preserve"> </w:t>
            </w:r>
            <w:r w:rsidRPr="00AE261D">
              <w:rPr>
                <w:sz w:val="22"/>
                <w:szCs w:val="22"/>
              </w:rPr>
              <w:t>ha tại xã Thống Nhất (Tên cũ: Xã Gia Tân 1, huyện Thống Nhất)</w:t>
            </w:r>
          </w:p>
        </w:tc>
        <w:tc>
          <w:tcPr>
            <w:tcW w:w="947" w:type="dxa"/>
            <w:vMerge w:val="restart"/>
            <w:shd w:val="clear" w:color="auto" w:fill="auto"/>
            <w:vAlign w:val="center"/>
            <w:hideMark/>
          </w:tcPr>
          <w:p w14:paraId="712072D2" w14:textId="77777777" w:rsidR="000C35B1" w:rsidRPr="00AE261D" w:rsidRDefault="000C35B1" w:rsidP="00C20CC4">
            <w:pPr>
              <w:spacing w:before="60" w:after="60"/>
              <w:jc w:val="center"/>
              <w:rPr>
                <w:sz w:val="22"/>
                <w:szCs w:val="22"/>
              </w:rPr>
            </w:pPr>
            <w:r w:rsidRPr="00AE261D">
              <w:rPr>
                <w:sz w:val="22"/>
                <w:szCs w:val="22"/>
              </w:rPr>
              <w:t>Thống Nhất</w:t>
            </w:r>
          </w:p>
        </w:tc>
        <w:tc>
          <w:tcPr>
            <w:tcW w:w="829" w:type="dxa"/>
            <w:vMerge w:val="restart"/>
            <w:shd w:val="clear" w:color="auto" w:fill="auto"/>
            <w:vAlign w:val="center"/>
            <w:hideMark/>
          </w:tcPr>
          <w:p w14:paraId="04E1D42F" w14:textId="77777777" w:rsidR="000C35B1" w:rsidRPr="00AE261D" w:rsidRDefault="000C35B1" w:rsidP="00C20CC4">
            <w:pPr>
              <w:spacing w:before="60" w:after="60"/>
              <w:jc w:val="center"/>
              <w:rPr>
                <w:sz w:val="22"/>
                <w:szCs w:val="22"/>
              </w:rPr>
            </w:pPr>
          </w:p>
        </w:tc>
        <w:tc>
          <w:tcPr>
            <w:tcW w:w="840" w:type="dxa"/>
            <w:vMerge w:val="restart"/>
            <w:shd w:val="clear" w:color="auto" w:fill="auto"/>
            <w:vAlign w:val="center"/>
            <w:hideMark/>
          </w:tcPr>
          <w:p w14:paraId="6695C625" w14:textId="77777777" w:rsidR="000C35B1" w:rsidRPr="00AE261D" w:rsidRDefault="000C35B1" w:rsidP="00C20CC4">
            <w:pPr>
              <w:spacing w:before="60" w:after="60"/>
              <w:jc w:val="center"/>
              <w:rPr>
                <w:sz w:val="22"/>
                <w:szCs w:val="22"/>
              </w:rPr>
            </w:pPr>
          </w:p>
        </w:tc>
        <w:tc>
          <w:tcPr>
            <w:tcW w:w="1030" w:type="dxa"/>
            <w:vMerge w:val="restart"/>
            <w:shd w:val="clear" w:color="auto" w:fill="auto"/>
            <w:vAlign w:val="center"/>
            <w:hideMark/>
          </w:tcPr>
          <w:p w14:paraId="1ADF66B0" w14:textId="77777777" w:rsidR="000C35B1" w:rsidRPr="00AE261D" w:rsidRDefault="000C35B1" w:rsidP="00C20CC4">
            <w:pPr>
              <w:spacing w:before="60" w:after="60"/>
              <w:jc w:val="center"/>
              <w:rPr>
                <w:sz w:val="22"/>
                <w:szCs w:val="22"/>
              </w:rPr>
            </w:pPr>
            <w:r w:rsidRPr="00AE261D">
              <w:rPr>
                <w:sz w:val="22"/>
                <w:szCs w:val="22"/>
              </w:rPr>
              <w:t>85,00</w:t>
            </w:r>
          </w:p>
        </w:tc>
        <w:tc>
          <w:tcPr>
            <w:tcW w:w="900" w:type="dxa"/>
            <w:vMerge w:val="restart"/>
            <w:shd w:val="clear" w:color="auto" w:fill="auto"/>
            <w:vAlign w:val="center"/>
            <w:hideMark/>
          </w:tcPr>
          <w:p w14:paraId="07734156" w14:textId="77777777" w:rsidR="000C35B1" w:rsidRPr="00AE261D" w:rsidRDefault="000C35B1" w:rsidP="00C20CC4">
            <w:pPr>
              <w:spacing w:before="60" w:after="60"/>
              <w:jc w:val="center"/>
              <w:rPr>
                <w:sz w:val="22"/>
                <w:szCs w:val="22"/>
              </w:rPr>
            </w:pPr>
            <w:r w:rsidRPr="00AE261D">
              <w:rPr>
                <w:sz w:val="22"/>
                <w:szCs w:val="22"/>
              </w:rPr>
              <w:t>ONT</w:t>
            </w:r>
          </w:p>
        </w:tc>
        <w:tc>
          <w:tcPr>
            <w:tcW w:w="1878" w:type="dxa"/>
            <w:shd w:val="clear" w:color="auto" w:fill="auto"/>
            <w:vAlign w:val="center"/>
            <w:hideMark/>
          </w:tcPr>
          <w:p w14:paraId="6B9E3A16" w14:textId="77777777" w:rsidR="000C35B1" w:rsidRPr="00AE261D" w:rsidRDefault="000C35B1" w:rsidP="00C20CC4">
            <w:pPr>
              <w:spacing w:before="60" w:after="60"/>
              <w:jc w:val="center"/>
              <w:rPr>
                <w:sz w:val="22"/>
                <w:szCs w:val="22"/>
              </w:rPr>
            </w:pPr>
            <w:r w:rsidRPr="00AE261D">
              <w:rPr>
                <w:sz w:val="22"/>
                <w:szCs w:val="22"/>
              </w:rPr>
              <w:t>691,33</w:t>
            </w:r>
          </w:p>
        </w:tc>
        <w:tc>
          <w:tcPr>
            <w:tcW w:w="1086" w:type="dxa"/>
            <w:vMerge w:val="restart"/>
            <w:shd w:val="clear" w:color="auto" w:fill="auto"/>
            <w:vAlign w:val="center"/>
            <w:hideMark/>
          </w:tcPr>
          <w:p w14:paraId="30274086" w14:textId="77777777" w:rsidR="000C35B1" w:rsidRPr="00AE261D" w:rsidRDefault="000C35B1" w:rsidP="00C20CC4">
            <w:pPr>
              <w:spacing w:before="60" w:after="60"/>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6CE3291F" w14:textId="77777777" w:rsidR="000C35B1" w:rsidRPr="00AE261D" w:rsidRDefault="000C35B1" w:rsidP="00C20CC4">
            <w:pPr>
              <w:spacing w:before="60" w:after="60"/>
              <w:jc w:val="center"/>
              <w:rPr>
                <w:sz w:val="22"/>
                <w:szCs w:val="22"/>
              </w:rPr>
            </w:pPr>
            <w:r w:rsidRPr="00AE261D">
              <w:rPr>
                <w:sz w:val="22"/>
                <w:szCs w:val="22"/>
              </w:rPr>
              <w:t>7.500.000</w:t>
            </w:r>
          </w:p>
        </w:tc>
        <w:tc>
          <w:tcPr>
            <w:tcW w:w="2190" w:type="dxa"/>
            <w:shd w:val="clear" w:color="auto" w:fill="auto"/>
            <w:vAlign w:val="center"/>
            <w:hideMark/>
          </w:tcPr>
          <w:p w14:paraId="61AD7F4C" w14:textId="77777777" w:rsidR="000C35B1" w:rsidRPr="00AE261D" w:rsidRDefault="000C35B1" w:rsidP="00C20CC4">
            <w:pPr>
              <w:spacing w:before="60" w:after="60"/>
              <w:jc w:val="center"/>
              <w:rPr>
                <w:sz w:val="22"/>
                <w:szCs w:val="22"/>
              </w:rPr>
            </w:pPr>
            <w:r w:rsidRPr="00AE261D">
              <w:rPr>
                <w:sz w:val="22"/>
                <w:szCs w:val="22"/>
              </w:rPr>
              <w:t>2.231,25</w:t>
            </w:r>
          </w:p>
        </w:tc>
        <w:tc>
          <w:tcPr>
            <w:tcW w:w="684" w:type="dxa"/>
            <w:vMerge w:val="restart"/>
            <w:shd w:val="clear" w:color="auto" w:fill="auto"/>
            <w:vAlign w:val="center"/>
            <w:hideMark/>
          </w:tcPr>
          <w:p w14:paraId="57F97C52" w14:textId="77777777" w:rsidR="000C35B1" w:rsidRPr="00AE261D" w:rsidRDefault="000C35B1" w:rsidP="00C20CC4">
            <w:pPr>
              <w:spacing w:before="60" w:after="60"/>
              <w:jc w:val="center"/>
              <w:rPr>
                <w:sz w:val="22"/>
                <w:szCs w:val="22"/>
              </w:rPr>
            </w:pPr>
          </w:p>
        </w:tc>
      </w:tr>
      <w:tr w:rsidR="00002C6B" w:rsidRPr="00AE261D" w14:paraId="06B98812" w14:textId="77777777" w:rsidTr="00DF3719">
        <w:trPr>
          <w:trHeight w:val="1695"/>
        </w:trPr>
        <w:tc>
          <w:tcPr>
            <w:tcW w:w="632" w:type="dxa"/>
            <w:vMerge/>
            <w:shd w:val="clear" w:color="auto" w:fill="auto"/>
            <w:vAlign w:val="center"/>
            <w:hideMark/>
          </w:tcPr>
          <w:p w14:paraId="77F50D7E" w14:textId="77777777" w:rsidR="000C35B1" w:rsidRPr="00AE261D" w:rsidRDefault="000C35B1" w:rsidP="00C20CC4">
            <w:pPr>
              <w:spacing w:before="60" w:after="60"/>
              <w:jc w:val="center"/>
              <w:rPr>
                <w:sz w:val="22"/>
                <w:szCs w:val="22"/>
              </w:rPr>
            </w:pPr>
          </w:p>
        </w:tc>
        <w:tc>
          <w:tcPr>
            <w:tcW w:w="2504" w:type="dxa"/>
            <w:vMerge/>
            <w:shd w:val="clear" w:color="auto" w:fill="auto"/>
            <w:vAlign w:val="center"/>
            <w:hideMark/>
          </w:tcPr>
          <w:p w14:paraId="0F138147" w14:textId="77777777" w:rsidR="000C35B1" w:rsidRPr="00AE261D" w:rsidRDefault="000C35B1" w:rsidP="00C20CC4">
            <w:pPr>
              <w:spacing w:before="60" w:after="60"/>
              <w:jc w:val="both"/>
              <w:rPr>
                <w:sz w:val="22"/>
                <w:szCs w:val="22"/>
              </w:rPr>
            </w:pPr>
          </w:p>
        </w:tc>
        <w:tc>
          <w:tcPr>
            <w:tcW w:w="947" w:type="dxa"/>
            <w:vMerge/>
            <w:shd w:val="clear" w:color="auto" w:fill="auto"/>
            <w:vAlign w:val="center"/>
            <w:hideMark/>
          </w:tcPr>
          <w:p w14:paraId="7A5346D9" w14:textId="77777777" w:rsidR="000C35B1" w:rsidRPr="00AE261D" w:rsidRDefault="000C35B1" w:rsidP="00C20CC4">
            <w:pPr>
              <w:spacing w:before="60" w:after="60"/>
              <w:jc w:val="center"/>
              <w:rPr>
                <w:sz w:val="22"/>
                <w:szCs w:val="22"/>
              </w:rPr>
            </w:pPr>
          </w:p>
        </w:tc>
        <w:tc>
          <w:tcPr>
            <w:tcW w:w="829" w:type="dxa"/>
            <w:vMerge/>
            <w:shd w:val="clear" w:color="auto" w:fill="auto"/>
            <w:vAlign w:val="center"/>
            <w:hideMark/>
          </w:tcPr>
          <w:p w14:paraId="67D1ECAA" w14:textId="77777777" w:rsidR="000C35B1" w:rsidRPr="00AE261D" w:rsidRDefault="000C35B1" w:rsidP="00C20CC4">
            <w:pPr>
              <w:spacing w:before="60" w:after="60"/>
              <w:jc w:val="center"/>
              <w:rPr>
                <w:sz w:val="22"/>
                <w:szCs w:val="22"/>
              </w:rPr>
            </w:pPr>
          </w:p>
        </w:tc>
        <w:tc>
          <w:tcPr>
            <w:tcW w:w="840" w:type="dxa"/>
            <w:vMerge/>
            <w:shd w:val="clear" w:color="auto" w:fill="auto"/>
            <w:vAlign w:val="center"/>
            <w:hideMark/>
          </w:tcPr>
          <w:p w14:paraId="7B711D15" w14:textId="77777777" w:rsidR="000C35B1" w:rsidRPr="00AE261D" w:rsidRDefault="000C35B1" w:rsidP="00C20CC4">
            <w:pPr>
              <w:spacing w:before="60" w:after="60"/>
              <w:jc w:val="center"/>
              <w:rPr>
                <w:sz w:val="22"/>
                <w:szCs w:val="22"/>
              </w:rPr>
            </w:pPr>
          </w:p>
        </w:tc>
        <w:tc>
          <w:tcPr>
            <w:tcW w:w="1030" w:type="dxa"/>
            <w:vMerge/>
            <w:shd w:val="clear" w:color="auto" w:fill="auto"/>
            <w:vAlign w:val="center"/>
            <w:hideMark/>
          </w:tcPr>
          <w:p w14:paraId="3D759AFA" w14:textId="77777777" w:rsidR="000C35B1" w:rsidRPr="00AE261D" w:rsidRDefault="000C35B1" w:rsidP="00C20CC4">
            <w:pPr>
              <w:spacing w:before="60" w:after="60"/>
              <w:jc w:val="center"/>
              <w:rPr>
                <w:sz w:val="22"/>
                <w:szCs w:val="22"/>
              </w:rPr>
            </w:pPr>
          </w:p>
        </w:tc>
        <w:tc>
          <w:tcPr>
            <w:tcW w:w="900" w:type="dxa"/>
            <w:vMerge/>
            <w:shd w:val="clear" w:color="auto" w:fill="auto"/>
            <w:vAlign w:val="center"/>
            <w:hideMark/>
          </w:tcPr>
          <w:p w14:paraId="63C73578" w14:textId="77777777" w:rsidR="000C35B1" w:rsidRPr="00AE261D" w:rsidRDefault="000C35B1" w:rsidP="00C20CC4">
            <w:pPr>
              <w:spacing w:before="60" w:after="60"/>
              <w:jc w:val="center"/>
              <w:rPr>
                <w:sz w:val="22"/>
                <w:szCs w:val="22"/>
              </w:rPr>
            </w:pPr>
          </w:p>
        </w:tc>
        <w:tc>
          <w:tcPr>
            <w:tcW w:w="1878" w:type="dxa"/>
            <w:shd w:val="clear" w:color="auto" w:fill="auto"/>
            <w:vAlign w:val="center"/>
            <w:hideMark/>
          </w:tcPr>
          <w:p w14:paraId="6C5B35D3" w14:textId="77777777" w:rsidR="000C35B1" w:rsidRPr="00AE261D" w:rsidRDefault="000C35B1" w:rsidP="00C20CC4">
            <w:pPr>
              <w:spacing w:before="60" w:after="60"/>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022CDBD0" w14:textId="77777777" w:rsidR="000C35B1" w:rsidRPr="00AE261D" w:rsidRDefault="000C35B1" w:rsidP="00C20CC4">
            <w:pPr>
              <w:spacing w:before="60" w:after="60"/>
              <w:jc w:val="center"/>
              <w:rPr>
                <w:sz w:val="22"/>
                <w:szCs w:val="22"/>
              </w:rPr>
            </w:pPr>
          </w:p>
        </w:tc>
        <w:tc>
          <w:tcPr>
            <w:tcW w:w="1316" w:type="dxa"/>
            <w:vMerge/>
            <w:shd w:val="clear" w:color="auto" w:fill="auto"/>
            <w:vAlign w:val="center"/>
            <w:hideMark/>
          </w:tcPr>
          <w:p w14:paraId="0DF96D4B" w14:textId="77777777" w:rsidR="000C35B1" w:rsidRPr="00AE261D" w:rsidRDefault="000C35B1" w:rsidP="00C20CC4">
            <w:pPr>
              <w:spacing w:before="60" w:after="60"/>
              <w:jc w:val="center"/>
              <w:rPr>
                <w:sz w:val="22"/>
                <w:szCs w:val="22"/>
              </w:rPr>
            </w:pPr>
          </w:p>
        </w:tc>
        <w:tc>
          <w:tcPr>
            <w:tcW w:w="2190" w:type="dxa"/>
            <w:shd w:val="clear" w:color="auto" w:fill="auto"/>
            <w:vAlign w:val="center"/>
            <w:hideMark/>
          </w:tcPr>
          <w:p w14:paraId="34E2889A" w14:textId="77777777" w:rsidR="000C35B1" w:rsidRPr="00AE261D" w:rsidRDefault="000C35B1" w:rsidP="00C20CC4">
            <w:pPr>
              <w:spacing w:before="60" w:after="60"/>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719F48D2" w14:textId="77777777" w:rsidR="000C35B1" w:rsidRPr="00AE261D" w:rsidRDefault="000C35B1" w:rsidP="00C20CC4">
            <w:pPr>
              <w:spacing w:before="60" w:after="60"/>
              <w:jc w:val="center"/>
              <w:rPr>
                <w:sz w:val="22"/>
                <w:szCs w:val="22"/>
              </w:rPr>
            </w:pPr>
          </w:p>
        </w:tc>
      </w:tr>
      <w:tr w:rsidR="00002C6B" w:rsidRPr="00AE261D" w14:paraId="46A3A011" w14:textId="77777777" w:rsidTr="00C20CC4">
        <w:trPr>
          <w:trHeight w:val="519"/>
        </w:trPr>
        <w:tc>
          <w:tcPr>
            <w:tcW w:w="632" w:type="dxa"/>
            <w:vMerge w:val="restart"/>
            <w:shd w:val="clear" w:color="auto" w:fill="auto"/>
            <w:vAlign w:val="center"/>
            <w:hideMark/>
          </w:tcPr>
          <w:p w14:paraId="16A5BDAF" w14:textId="77777777" w:rsidR="000C35B1" w:rsidRPr="00AE261D" w:rsidRDefault="000C35B1" w:rsidP="00C20CC4">
            <w:pPr>
              <w:spacing w:before="60" w:after="60"/>
              <w:jc w:val="center"/>
              <w:rPr>
                <w:sz w:val="22"/>
                <w:szCs w:val="22"/>
              </w:rPr>
            </w:pPr>
            <w:r w:rsidRPr="00AE261D">
              <w:rPr>
                <w:sz w:val="22"/>
                <w:szCs w:val="22"/>
              </w:rPr>
              <w:t>12</w:t>
            </w:r>
          </w:p>
        </w:tc>
        <w:tc>
          <w:tcPr>
            <w:tcW w:w="2504" w:type="dxa"/>
            <w:vMerge w:val="restart"/>
            <w:shd w:val="clear" w:color="auto" w:fill="auto"/>
            <w:vAlign w:val="center"/>
            <w:hideMark/>
          </w:tcPr>
          <w:p w14:paraId="6F6A9D51" w14:textId="599E69C2" w:rsidR="000C35B1" w:rsidRPr="00AE261D" w:rsidRDefault="000C35B1" w:rsidP="00C20CC4">
            <w:pPr>
              <w:spacing w:before="60" w:after="60"/>
              <w:jc w:val="both"/>
              <w:rPr>
                <w:sz w:val="22"/>
                <w:szCs w:val="22"/>
              </w:rPr>
            </w:pPr>
            <w:r w:rsidRPr="00AE261D">
              <w:rPr>
                <w:sz w:val="22"/>
                <w:szCs w:val="22"/>
              </w:rPr>
              <w:t>Khu đất 150,0</w:t>
            </w:r>
            <w:r w:rsidR="004E188A" w:rsidRPr="00AE261D">
              <w:rPr>
                <w:sz w:val="22"/>
                <w:szCs w:val="22"/>
              </w:rPr>
              <w:t xml:space="preserve"> </w:t>
            </w:r>
            <w:r w:rsidRPr="00AE261D">
              <w:rPr>
                <w:sz w:val="22"/>
                <w:szCs w:val="22"/>
              </w:rPr>
              <w:t xml:space="preserve">ha tại </w:t>
            </w:r>
            <w:r w:rsidR="004E188A" w:rsidRPr="00AE261D">
              <w:rPr>
                <w:sz w:val="22"/>
                <w:szCs w:val="22"/>
              </w:rPr>
              <w:t>p</w:t>
            </w:r>
            <w:r w:rsidRPr="00AE261D">
              <w:rPr>
                <w:sz w:val="22"/>
                <w:szCs w:val="22"/>
              </w:rPr>
              <w:t>hườn</w:t>
            </w:r>
            <w:r w:rsidRPr="00AE261D">
              <w:rPr>
                <w:sz w:val="22"/>
                <w:szCs w:val="22"/>
                <w:lang w:val="vi-VN"/>
              </w:rPr>
              <w:t>g</w:t>
            </w:r>
            <w:r w:rsidRPr="00AE261D">
              <w:rPr>
                <w:sz w:val="22"/>
                <w:szCs w:val="22"/>
              </w:rPr>
              <w:t xml:space="preserve"> Bình Lộc (Tên cũ: Phường Suối Tre, thành phố Long Khánh)</w:t>
            </w:r>
          </w:p>
        </w:tc>
        <w:tc>
          <w:tcPr>
            <w:tcW w:w="947" w:type="dxa"/>
            <w:vMerge w:val="restart"/>
            <w:shd w:val="clear" w:color="auto" w:fill="auto"/>
            <w:vAlign w:val="center"/>
            <w:hideMark/>
          </w:tcPr>
          <w:p w14:paraId="682215D9" w14:textId="77777777" w:rsidR="000C35B1" w:rsidRPr="00AE261D" w:rsidRDefault="000C35B1" w:rsidP="00C20CC4">
            <w:pPr>
              <w:spacing w:before="60" w:after="60"/>
              <w:jc w:val="center"/>
              <w:rPr>
                <w:sz w:val="22"/>
                <w:szCs w:val="22"/>
              </w:rPr>
            </w:pPr>
            <w:r w:rsidRPr="00AE261D">
              <w:rPr>
                <w:sz w:val="22"/>
                <w:szCs w:val="22"/>
              </w:rPr>
              <w:t>Bình Lộc</w:t>
            </w:r>
          </w:p>
        </w:tc>
        <w:tc>
          <w:tcPr>
            <w:tcW w:w="829" w:type="dxa"/>
            <w:vMerge w:val="restart"/>
            <w:shd w:val="clear" w:color="auto" w:fill="auto"/>
            <w:vAlign w:val="center"/>
            <w:hideMark/>
          </w:tcPr>
          <w:p w14:paraId="7EAD158C" w14:textId="77777777" w:rsidR="000C35B1" w:rsidRPr="00AE261D" w:rsidRDefault="000C35B1" w:rsidP="00C20CC4">
            <w:pPr>
              <w:spacing w:before="60" w:after="60"/>
              <w:jc w:val="center"/>
              <w:rPr>
                <w:sz w:val="22"/>
                <w:szCs w:val="22"/>
              </w:rPr>
            </w:pPr>
          </w:p>
        </w:tc>
        <w:tc>
          <w:tcPr>
            <w:tcW w:w="840" w:type="dxa"/>
            <w:vMerge w:val="restart"/>
            <w:shd w:val="clear" w:color="auto" w:fill="auto"/>
            <w:vAlign w:val="center"/>
            <w:hideMark/>
          </w:tcPr>
          <w:p w14:paraId="51209564" w14:textId="77777777" w:rsidR="000C35B1" w:rsidRPr="00AE261D" w:rsidRDefault="000C35B1" w:rsidP="00C20CC4">
            <w:pPr>
              <w:spacing w:before="60" w:after="60"/>
              <w:jc w:val="center"/>
              <w:rPr>
                <w:sz w:val="22"/>
                <w:szCs w:val="22"/>
              </w:rPr>
            </w:pPr>
          </w:p>
        </w:tc>
        <w:tc>
          <w:tcPr>
            <w:tcW w:w="1030" w:type="dxa"/>
            <w:vMerge w:val="restart"/>
            <w:shd w:val="clear" w:color="auto" w:fill="auto"/>
            <w:vAlign w:val="center"/>
            <w:hideMark/>
          </w:tcPr>
          <w:p w14:paraId="6A100F24" w14:textId="77777777" w:rsidR="000C35B1" w:rsidRPr="00AE261D" w:rsidRDefault="000C35B1" w:rsidP="00C20CC4">
            <w:pPr>
              <w:spacing w:before="60" w:after="60"/>
              <w:jc w:val="center"/>
              <w:rPr>
                <w:sz w:val="22"/>
                <w:szCs w:val="22"/>
              </w:rPr>
            </w:pPr>
            <w:r w:rsidRPr="00AE261D">
              <w:rPr>
                <w:sz w:val="22"/>
                <w:szCs w:val="22"/>
              </w:rPr>
              <w:t>150,00</w:t>
            </w:r>
          </w:p>
        </w:tc>
        <w:tc>
          <w:tcPr>
            <w:tcW w:w="900" w:type="dxa"/>
            <w:vMerge w:val="restart"/>
            <w:shd w:val="clear" w:color="auto" w:fill="auto"/>
            <w:vAlign w:val="center"/>
            <w:hideMark/>
          </w:tcPr>
          <w:p w14:paraId="0521D4EA" w14:textId="77777777" w:rsidR="000C35B1" w:rsidRPr="00AE261D" w:rsidRDefault="000C35B1" w:rsidP="00C20CC4">
            <w:pPr>
              <w:spacing w:before="60" w:after="60"/>
              <w:jc w:val="center"/>
              <w:rPr>
                <w:sz w:val="22"/>
                <w:szCs w:val="22"/>
              </w:rPr>
            </w:pPr>
            <w:r w:rsidRPr="00AE261D">
              <w:rPr>
                <w:sz w:val="22"/>
                <w:szCs w:val="22"/>
              </w:rPr>
              <w:t>ONT</w:t>
            </w:r>
          </w:p>
        </w:tc>
        <w:tc>
          <w:tcPr>
            <w:tcW w:w="1878" w:type="dxa"/>
            <w:shd w:val="clear" w:color="auto" w:fill="auto"/>
            <w:vAlign w:val="center"/>
            <w:hideMark/>
          </w:tcPr>
          <w:p w14:paraId="7DF1B9A5" w14:textId="77777777" w:rsidR="000C35B1" w:rsidRPr="00AE261D" w:rsidRDefault="000C35B1" w:rsidP="00C20CC4">
            <w:pPr>
              <w:spacing w:before="60" w:after="60"/>
              <w:jc w:val="center"/>
              <w:rPr>
                <w:sz w:val="22"/>
                <w:szCs w:val="22"/>
              </w:rPr>
            </w:pPr>
            <w:r w:rsidRPr="00AE261D">
              <w:rPr>
                <w:sz w:val="22"/>
                <w:szCs w:val="22"/>
              </w:rPr>
              <w:t>1.263,99</w:t>
            </w:r>
          </w:p>
        </w:tc>
        <w:tc>
          <w:tcPr>
            <w:tcW w:w="1086" w:type="dxa"/>
            <w:vMerge w:val="restart"/>
            <w:shd w:val="clear" w:color="auto" w:fill="auto"/>
            <w:vAlign w:val="center"/>
            <w:hideMark/>
          </w:tcPr>
          <w:p w14:paraId="3D6BE853" w14:textId="77777777" w:rsidR="000C35B1" w:rsidRPr="00AE261D" w:rsidRDefault="000C35B1" w:rsidP="00C20CC4">
            <w:pPr>
              <w:spacing w:before="60" w:after="60"/>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6FBC9BE1" w14:textId="77777777" w:rsidR="000C35B1" w:rsidRPr="00AE261D" w:rsidRDefault="000C35B1" w:rsidP="00C20CC4">
            <w:pPr>
              <w:spacing w:before="60" w:after="60"/>
              <w:jc w:val="center"/>
              <w:rPr>
                <w:sz w:val="22"/>
                <w:szCs w:val="22"/>
              </w:rPr>
            </w:pPr>
            <w:r w:rsidRPr="00AE261D">
              <w:rPr>
                <w:sz w:val="22"/>
                <w:szCs w:val="22"/>
              </w:rPr>
              <w:t>10.000.000</w:t>
            </w:r>
          </w:p>
        </w:tc>
        <w:tc>
          <w:tcPr>
            <w:tcW w:w="2190" w:type="dxa"/>
            <w:shd w:val="clear" w:color="auto" w:fill="auto"/>
            <w:vAlign w:val="center"/>
            <w:hideMark/>
          </w:tcPr>
          <w:p w14:paraId="31B4FDE0" w14:textId="77777777" w:rsidR="000C35B1" w:rsidRPr="00AE261D" w:rsidRDefault="000C35B1" w:rsidP="00C20CC4">
            <w:pPr>
              <w:spacing w:before="60" w:after="60"/>
              <w:jc w:val="center"/>
              <w:rPr>
                <w:sz w:val="22"/>
                <w:szCs w:val="22"/>
              </w:rPr>
            </w:pPr>
            <w:r w:rsidRPr="00AE261D">
              <w:rPr>
                <w:sz w:val="22"/>
                <w:szCs w:val="22"/>
              </w:rPr>
              <w:t>5.250,00</w:t>
            </w:r>
          </w:p>
        </w:tc>
        <w:tc>
          <w:tcPr>
            <w:tcW w:w="684" w:type="dxa"/>
            <w:vMerge w:val="restart"/>
            <w:shd w:val="clear" w:color="auto" w:fill="auto"/>
            <w:vAlign w:val="center"/>
            <w:hideMark/>
          </w:tcPr>
          <w:p w14:paraId="077C4D06" w14:textId="77777777" w:rsidR="000C35B1" w:rsidRPr="00AE261D" w:rsidRDefault="000C35B1" w:rsidP="00C20CC4">
            <w:pPr>
              <w:spacing w:before="60" w:after="60"/>
              <w:jc w:val="center"/>
              <w:rPr>
                <w:sz w:val="22"/>
                <w:szCs w:val="22"/>
              </w:rPr>
            </w:pPr>
          </w:p>
        </w:tc>
      </w:tr>
      <w:tr w:rsidR="00002C6B" w:rsidRPr="00AE261D" w14:paraId="47651E3B" w14:textId="77777777" w:rsidTr="00DF3719">
        <w:trPr>
          <w:trHeight w:val="1785"/>
        </w:trPr>
        <w:tc>
          <w:tcPr>
            <w:tcW w:w="632" w:type="dxa"/>
            <w:vMerge/>
            <w:shd w:val="clear" w:color="auto" w:fill="auto"/>
            <w:vAlign w:val="center"/>
            <w:hideMark/>
          </w:tcPr>
          <w:p w14:paraId="0E40918F" w14:textId="77777777" w:rsidR="000C35B1" w:rsidRPr="00AE261D" w:rsidRDefault="000C35B1" w:rsidP="00002C6B">
            <w:pPr>
              <w:jc w:val="center"/>
              <w:rPr>
                <w:sz w:val="22"/>
                <w:szCs w:val="22"/>
              </w:rPr>
            </w:pPr>
          </w:p>
        </w:tc>
        <w:tc>
          <w:tcPr>
            <w:tcW w:w="2504" w:type="dxa"/>
            <w:vMerge/>
            <w:shd w:val="clear" w:color="auto" w:fill="auto"/>
            <w:vAlign w:val="center"/>
            <w:hideMark/>
          </w:tcPr>
          <w:p w14:paraId="5E1CC535" w14:textId="77777777" w:rsidR="000C35B1" w:rsidRPr="00AE261D" w:rsidRDefault="000C35B1" w:rsidP="00002C6B">
            <w:pPr>
              <w:jc w:val="both"/>
              <w:rPr>
                <w:sz w:val="22"/>
                <w:szCs w:val="22"/>
              </w:rPr>
            </w:pPr>
          </w:p>
        </w:tc>
        <w:tc>
          <w:tcPr>
            <w:tcW w:w="947" w:type="dxa"/>
            <w:vMerge/>
            <w:shd w:val="clear" w:color="auto" w:fill="auto"/>
            <w:vAlign w:val="center"/>
            <w:hideMark/>
          </w:tcPr>
          <w:p w14:paraId="10C66D2E" w14:textId="77777777" w:rsidR="000C35B1" w:rsidRPr="00AE261D" w:rsidRDefault="000C35B1" w:rsidP="00002C6B">
            <w:pPr>
              <w:jc w:val="center"/>
              <w:rPr>
                <w:sz w:val="22"/>
                <w:szCs w:val="22"/>
              </w:rPr>
            </w:pPr>
          </w:p>
        </w:tc>
        <w:tc>
          <w:tcPr>
            <w:tcW w:w="829" w:type="dxa"/>
            <w:vMerge/>
            <w:shd w:val="clear" w:color="auto" w:fill="auto"/>
            <w:vAlign w:val="center"/>
            <w:hideMark/>
          </w:tcPr>
          <w:p w14:paraId="275738E8" w14:textId="77777777" w:rsidR="000C35B1" w:rsidRPr="00AE261D" w:rsidRDefault="000C35B1" w:rsidP="00002C6B">
            <w:pPr>
              <w:jc w:val="center"/>
              <w:rPr>
                <w:sz w:val="22"/>
                <w:szCs w:val="22"/>
              </w:rPr>
            </w:pPr>
          </w:p>
        </w:tc>
        <w:tc>
          <w:tcPr>
            <w:tcW w:w="840" w:type="dxa"/>
            <w:vMerge/>
            <w:shd w:val="clear" w:color="auto" w:fill="auto"/>
            <w:vAlign w:val="center"/>
            <w:hideMark/>
          </w:tcPr>
          <w:p w14:paraId="582EE2CA" w14:textId="77777777" w:rsidR="000C35B1" w:rsidRPr="00AE261D" w:rsidRDefault="000C35B1" w:rsidP="00002C6B">
            <w:pPr>
              <w:jc w:val="center"/>
              <w:rPr>
                <w:sz w:val="22"/>
                <w:szCs w:val="22"/>
              </w:rPr>
            </w:pPr>
          </w:p>
        </w:tc>
        <w:tc>
          <w:tcPr>
            <w:tcW w:w="1030" w:type="dxa"/>
            <w:vMerge/>
            <w:shd w:val="clear" w:color="auto" w:fill="auto"/>
            <w:vAlign w:val="center"/>
            <w:hideMark/>
          </w:tcPr>
          <w:p w14:paraId="19BF364D" w14:textId="77777777" w:rsidR="000C35B1" w:rsidRPr="00AE261D" w:rsidRDefault="000C35B1" w:rsidP="00002C6B">
            <w:pPr>
              <w:jc w:val="center"/>
              <w:rPr>
                <w:sz w:val="22"/>
                <w:szCs w:val="22"/>
              </w:rPr>
            </w:pPr>
          </w:p>
        </w:tc>
        <w:tc>
          <w:tcPr>
            <w:tcW w:w="900" w:type="dxa"/>
            <w:vMerge/>
            <w:shd w:val="clear" w:color="auto" w:fill="auto"/>
            <w:vAlign w:val="center"/>
            <w:hideMark/>
          </w:tcPr>
          <w:p w14:paraId="5792F66C" w14:textId="77777777" w:rsidR="000C35B1" w:rsidRPr="00AE261D" w:rsidRDefault="000C35B1" w:rsidP="00002C6B">
            <w:pPr>
              <w:jc w:val="center"/>
              <w:rPr>
                <w:sz w:val="22"/>
                <w:szCs w:val="22"/>
              </w:rPr>
            </w:pPr>
          </w:p>
        </w:tc>
        <w:tc>
          <w:tcPr>
            <w:tcW w:w="1878" w:type="dxa"/>
            <w:shd w:val="clear" w:color="auto" w:fill="auto"/>
            <w:vAlign w:val="center"/>
            <w:hideMark/>
          </w:tcPr>
          <w:p w14:paraId="3C046DE4"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10F8A9CF" w14:textId="77777777" w:rsidR="000C35B1" w:rsidRPr="00AE261D" w:rsidRDefault="000C35B1" w:rsidP="00002C6B">
            <w:pPr>
              <w:jc w:val="both"/>
              <w:rPr>
                <w:sz w:val="22"/>
                <w:szCs w:val="22"/>
              </w:rPr>
            </w:pPr>
          </w:p>
        </w:tc>
        <w:tc>
          <w:tcPr>
            <w:tcW w:w="1316" w:type="dxa"/>
            <w:vMerge/>
            <w:shd w:val="clear" w:color="auto" w:fill="auto"/>
            <w:vAlign w:val="center"/>
            <w:hideMark/>
          </w:tcPr>
          <w:p w14:paraId="2E9725D8" w14:textId="77777777" w:rsidR="000C35B1" w:rsidRPr="00AE261D" w:rsidRDefault="000C35B1" w:rsidP="00002C6B">
            <w:pPr>
              <w:jc w:val="both"/>
              <w:rPr>
                <w:sz w:val="22"/>
                <w:szCs w:val="22"/>
              </w:rPr>
            </w:pPr>
          </w:p>
        </w:tc>
        <w:tc>
          <w:tcPr>
            <w:tcW w:w="2190" w:type="dxa"/>
            <w:shd w:val="clear" w:color="auto" w:fill="auto"/>
            <w:vAlign w:val="center"/>
            <w:hideMark/>
          </w:tcPr>
          <w:p w14:paraId="7793996B"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7471A8C9" w14:textId="77777777" w:rsidR="000C35B1" w:rsidRPr="00AE261D" w:rsidRDefault="000C35B1" w:rsidP="00002C6B">
            <w:pPr>
              <w:jc w:val="center"/>
              <w:rPr>
                <w:sz w:val="22"/>
                <w:szCs w:val="22"/>
              </w:rPr>
            </w:pPr>
          </w:p>
        </w:tc>
      </w:tr>
      <w:tr w:rsidR="00002C6B" w:rsidRPr="00AE261D" w14:paraId="47F7B216" w14:textId="77777777" w:rsidTr="00C20CC4">
        <w:trPr>
          <w:trHeight w:val="606"/>
        </w:trPr>
        <w:tc>
          <w:tcPr>
            <w:tcW w:w="632" w:type="dxa"/>
            <w:vMerge w:val="restart"/>
            <w:shd w:val="clear" w:color="auto" w:fill="auto"/>
            <w:vAlign w:val="center"/>
            <w:hideMark/>
          </w:tcPr>
          <w:p w14:paraId="0D4596FA" w14:textId="77777777" w:rsidR="000C35B1" w:rsidRPr="00AE261D" w:rsidRDefault="000C35B1" w:rsidP="00002C6B">
            <w:pPr>
              <w:jc w:val="center"/>
              <w:rPr>
                <w:sz w:val="22"/>
                <w:szCs w:val="22"/>
              </w:rPr>
            </w:pPr>
            <w:r w:rsidRPr="00AE261D">
              <w:rPr>
                <w:sz w:val="22"/>
                <w:szCs w:val="22"/>
              </w:rPr>
              <w:lastRenderedPageBreak/>
              <w:t>13</w:t>
            </w:r>
          </w:p>
        </w:tc>
        <w:tc>
          <w:tcPr>
            <w:tcW w:w="2504" w:type="dxa"/>
            <w:vMerge w:val="restart"/>
            <w:shd w:val="clear" w:color="auto" w:fill="auto"/>
            <w:vAlign w:val="center"/>
            <w:hideMark/>
          </w:tcPr>
          <w:p w14:paraId="41BDAA9E" w14:textId="4DE15C4A" w:rsidR="000C35B1" w:rsidRPr="00AE261D" w:rsidRDefault="004E188A" w:rsidP="00002C6B">
            <w:pPr>
              <w:jc w:val="both"/>
              <w:rPr>
                <w:sz w:val="22"/>
                <w:szCs w:val="22"/>
              </w:rPr>
            </w:pPr>
            <w:r w:rsidRPr="00AE261D">
              <w:rPr>
                <w:sz w:val="22"/>
                <w:szCs w:val="22"/>
              </w:rPr>
              <w:t>Khu đất 105,0 ha tại p</w:t>
            </w:r>
            <w:r w:rsidR="000C35B1" w:rsidRPr="00AE261D">
              <w:rPr>
                <w:sz w:val="22"/>
                <w:szCs w:val="22"/>
              </w:rPr>
              <w:t>hường Xuân Lập (Tên cũ: Phường Bàu Sen, thành phố Long Khánh)</w:t>
            </w:r>
          </w:p>
        </w:tc>
        <w:tc>
          <w:tcPr>
            <w:tcW w:w="947" w:type="dxa"/>
            <w:vMerge w:val="restart"/>
            <w:shd w:val="clear" w:color="auto" w:fill="auto"/>
            <w:vAlign w:val="center"/>
            <w:hideMark/>
          </w:tcPr>
          <w:p w14:paraId="24475946" w14:textId="77777777" w:rsidR="000C35B1" w:rsidRPr="00AE261D" w:rsidRDefault="000C35B1" w:rsidP="00002C6B">
            <w:pPr>
              <w:jc w:val="center"/>
              <w:rPr>
                <w:sz w:val="22"/>
                <w:szCs w:val="22"/>
              </w:rPr>
            </w:pPr>
            <w:r w:rsidRPr="00AE261D">
              <w:rPr>
                <w:sz w:val="22"/>
                <w:szCs w:val="22"/>
              </w:rPr>
              <w:t>Xuân Lập</w:t>
            </w:r>
          </w:p>
        </w:tc>
        <w:tc>
          <w:tcPr>
            <w:tcW w:w="829" w:type="dxa"/>
            <w:vMerge w:val="restart"/>
            <w:shd w:val="clear" w:color="auto" w:fill="auto"/>
            <w:vAlign w:val="center"/>
            <w:hideMark/>
          </w:tcPr>
          <w:p w14:paraId="60389F28" w14:textId="77777777" w:rsidR="000C35B1" w:rsidRPr="00AE261D" w:rsidRDefault="000C35B1" w:rsidP="00002C6B">
            <w:pPr>
              <w:jc w:val="center"/>
              <w:rPr>
                <w:sz w:val="22"/>
                <w:szCs w:val="22"/>
              </w:rPr>
            </w:pPr>
          </w:p>
        </w:tc>
        <w:tc>
          <w:tcPr>
            <w:tcW w:w="840" w:type="dxa"/>
            <w:vMerge w:val="restart"/>
            <w:shd w:val="clear" w:color="auto" w:fill="auto"/>
            <w:vAlign w:val="center"/>
            <w:hideMark/>
          </w:tcPr>
          <w:p w14:paraId="773E9B5E" w14:textId="77777777" w:rsidR="000C35B1" w:rsidRPr="00AE261D" w:rsidRDefault="000C35B1" w:rsidP="00002C6B">
            <w:pPr>
              <w:jc w:val="center"/>
              <w:rPr>
                <w:sz w:val="22"/>
                <w:szCs w:val="22"/>
              </w:rPr>
            </w:pPr>
          </w:p>
        </w:tc>
        <w:tc>
          <w:tcPr>
            <w:tcW w:w="1030" w:type="dxa"/>
            <w:vMerge w:val="restart"/>
            <w:shd w:val="clear" w:color="auto" w:fill="auto"/>
            <w:vAlign w:val="center"/>
            <w:hideMark/>
          </w:tcPr>
          <w:p w14:paraId="37DB5D2F" w14:textId="77777777" w:rsidR="000C35B1" w:rsidRPr="00AE261D" w:rsidRDefault="000C35B1" w:rsidP="00002C6B">
            <w:pPr>
              <w:jc w:val="center"/>
              <w:rPr>
                <w:sz w:val="22"/>
                <w:szCs w:val="22"/>
              </w:rPr>
            </w:pPr>
            <w:r w:rsidRPr="00AE261D">
              <w:rPr>
                <w:sz w:val="22"/>
                <w:szCs w:val="22"/>
              </w:rPr>
              <w:t>105,00</w:t>
            </w:r>
          </w:p>
        </w:tc>
        <w:tc>
          <w:tcPr>
            <w:tcW w:w="900" w:type="dxa"/>
            <w:vMerge w:val="restart"/>
            <w:shd w:val="clear" w:color="auto" w:fill="auto"/>
            <w:vAlign w:val="center"/>
            <w:hideMark/>
          </w:tcPr>
          <w:p w14:paraId="7592AD9C" w14:textId="77777777" w:rsidR="000C35B1" w:rsidRPr="00AE261D" w:rsidRDefault="000C35B1" w:rsidP="00002C6B">
            <w:pPr>
              <w:jc w:val="center"/>
              <w:rPr>
                <w:sz w:val="22"/>
                <w:szCs w:val="22"/>
              </w:rPr>
            </w:pPr>
            <w:r w:rsidRPr="00AE261D">
              <w:rPr>
                <w:sz w:val="22"/>
                <w:szCs w:val="22"/>
              </w:rPr>
              <w:t>ONT</w:t>
            </w:r>
          </w:p>
        </w:tc>
        <w:tc>
          <w:tcPr>
            <w:tcW w:w="1878" w:type="dxa"/>
            <w:shd w:val="clear" w:color="auto" w:fill="auto"/>
            <w:vAlign w:val="center"/>
            <w:hideMark/>
          </w:tcPr>
          <w:p w14:paraId="171B3C33" w14:textId="77777777" w:rsidR="000C35B1" w:rsidRPr="00AE261D" w:rsidRDefault="000C35B1" w:rsidP="00002C6B">
            <w:pPr>
              <w:jc w:val="center"/>
              <w:rPr>
                <w:sz w:val="22"/>
                <w:szCs w:val="22"/>
              </w:rPr>
            </w:pPr>
            <w:r w:rsidRPr="00AE261D">
              <w:rPr>
                <w:sz w:val="22"/>
                <w:szCs w:val="22"/>
              </w:rPr>
              <w:t>930,50</w:t>
            </w:r>
          </w:p>
        </w:tc>
        <w:tc>
          <w:tcPr>
            <w:tcW w:w="1086" w:type="dxa"/>
            <w:vMerge w:val="restart"/>
            <w:shd w:val="clear" w:color="auto" w:fill="auto"/>
            <w:vAlign w:val="center"/>
            <w:hideMark/>
          </w:tcPr>
          <w:p w14:paraId="0AE13431"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7C9BF019" w14:textId="77777777" w:rsidR="000C35B1" w:rsidRPr="00AE261D" w:rsidRDefault="000C35B1" w:rsidP="00002C6B">
            <w:pPr>
              <w:jc w:val="center"/>
              <w:rPr>
                <w:sz w:val="22"/>
                <w:szCs w:val="22"/>
              </w:rPr>
            </w:pPr>
            <w:r w:rsidRPr="00AE261D">
              <w:rPr>
                <w:sz w:val="22"/>
                <w:szCs w:val="22"/>
              </w:rPr>
              <w:t>10.000.000</w:t>
            </w:r>
          </w:p>
        </w:tc>
        <w:tc>
          <w:tcPr>
            <w:tcW w:w="2190" w:type="dxa"/>
            <w:shd w:val="clear" w:color="auto" w:fill="auto"/>
            <w:vAlign w:val="center"/>
            <w:hideMark/>
          </w:tcPr>
          <w:p w14:paraId="0556E70C" w14:textId="77777777" w:rsidR="000C35B1" w:rsidRPr="00AE261D" w:rsidRDefault="000C35B1" w:rsidP="00002C6B">
            <w:pPr>
              <w:jc w:val="center"/>
              <w:rPr>
                <w:sz w:val="22"/>
                <w:szCs w:val="22"/>
              </w:rPr>
            </w:pPr>
            <w:r w:rsidRPr="00AE261D">
              <w:rPr>
                <w:sz w:val="22"/>
                <w:szCs w:val="22"/>
              </w:rPr>
              <w:t>3.675,00</w:t>
            </w:r>
          </w:p>
        </w:tc>
        <w:tc>
          <w:tcPr>
            <w:tcW w:w="684" w:type="dxa"/>
            <w:vMerge w:val="restart"/>
            <w:shd w:val="clear" w:color="auto" w:fill="auto"/>
            <w:vAlign w:val="center"/>
            <w:hideMark/>
          </w:tcPr>
          <w:p w14:paraId="71EA637D" w14:textId="77777777" w:rsidR="000C35B1" w:rsidRPr="00AE261D" w:rsidRDefault="000C35B1" w:rsidP="00002C6B">
            <w:pPr>
              <w:jc w:val="center"/>
              <w:rPr>
                <w:sz w:val="22"/>
                <w:szCs w:val="22"/>
              </w:rPr>
            </w:pPr>
          </w:p>
        </w:tc>
      </w:tr>
      <w:tr w:rsidR="00002C6B" w:rsidRPr="00AE261D" w14:paraId="7C33A695" w14:textId="77777777" w:rsidTr="00DF3719">
        <w:trPr>
          <w:trHeight w:val="1380"/>
        </w:trPr>
        <w:tc>
          <w:tcPr>
            <w:tcW w:w="632" w:type="dxa"/>
            <w:vMerge/>
            <w:shd w:val="clear" w:color="auto" w:fill="auto"/>
            <w:vAlign w:val="center"/>
            <w:hideMark/>
          </w:tcPr>
          <w:p w14:paraId="0477E39E" w14:textId="77777777" w:rsidR="000C35B1" w:rsidRPr="00AE261D" w:rsidRDefault="000C35B1" w:rsidP="00002C6B">
            <w:pPr>
              <w:jc w:val="center"/>
              <w:rPr>
                <w:sz w:val="22"/>
                <w:szCs w:val="22"/>
              </w:rPr>
            </w:pPr>
          </w:p>
        </w:tc>
        <w:tc>
          <w:tcPr>
            <w:tcW w:w="2504" w:type="dxa"/>
            <w:vMerge/>
            <w:shd w:val="clear" w:color="auto" w:fill="auto"/>
            <w:vAlign w:val="center"/>
            <w:hideMark/>
          </w:tcPr>
          <w:p w14:paraId="0663CDEA" w14:textId="77777777" w:rsidR="000C35B1" w:rsidRPr="00AE261D" w:rsidRDefault="000C35B1" w:rsidP="00002C6B">
            <w:pPr>
              <w:jc w:val="both"/>
              <w:rPr>
                <w:sz w:val="22"/>
                <w:szCs w:val="22"/>
              </w:rPr>
            </w:pPr>
          </w:p>
        </w:tc>
        <w:tc>
          <w:tcPr>
            <w:tcW w:w="947" w:type="dxa"/>
            <w:vMerge/>
            <w:shd w:val="clear" w:color="auto" w:fill="auto"/>
            <w:vAlign w:val="center"/>
            <w:hideMark/>
          </w:tcPr>
          <w:p w14:paraId="3DDF2F3F" w14:textId="77777777" w:rsidR="000C35B1" w:rsidRPr="00AE261D" w:rsidRDefault="000C35B1" w:rsidP="00002C6B">
            <w:pPr>
              <w:jc w:val="center"/>
              <w:rPr>
                <w:sz w:val="22"/>
                <w:szCs w:val="22"/>
              </w:rPr>
            </w:pPr>
          </w:p>
        </w:tc>
        <w:tc>
          <w:tcPr>
            <w:tcW w:w="829" w:type="dxa"/>
            <w:vMerge/>
            <w:shd w:val="clear" w:color="auto" w:fill="auto"/>
            <w:vAlign w:val="center"/>
            <w:hideMark/>
          </w:tcPr>
          <w:p w14:paraId="3624684B" w14:textId="77777777" w:rsidR="000C35B1" w:rsidRPr="00AE261D" w:rsidRDefault="000C35B1" w:rsidP="00002C6B">
            <w:pPr>
              <w:jc w:val="center"/>
              <w:rPr>
                <w:sz w:val="22"/>
                <w:szCs w:val="22"/>
              </w:rPr>
            </w:pPr>
          </w:p>
        </w:tc>
        <w:tc>
          <w:tcPr>
            <w:tcW w:w="840" w:type="dxa"/>
            <w:vMerge/>
            <w:shd w:val="clear" w:color="auto" w:fill="auto"/>
            <w:vAlign w:val="center"/>
            <w:hideMark/>
          </w:tcPr>
          <w:p w14:paraId="2DC1C802" w14:textId="77777777" w:rsidR="000C35B1" w:rsidRPr="00AE261D" w:rsidRDefault="000C35B1" w:rsidP="00002C6B">
            <w:pPr>
              <w:jc w:val="center"/>
              <w:rPr>
                <w:sz w:val="22"/>
                <w:szCs w:val="22"/>
              </w:rPr>
            </w:pPr>
          </w:p>
        </w:tc>
        <w:tc>
          <w:tcPr>
            <w:tcW w:w="1030" w:type="dxa"/>
            <w:vMerge/>
            <w:shd w:val="clear" w:color="auto" w:fill="auto"/>
            <w:vAlign w:val="center"/>
            <w:hideMark/>
          </w:tcPr>
          <w:p w14:paraId="7E22C87E" w14:textId="77777777" w:rsidR="000C35B1" w:rsidRPr="00AE261D" w:rsidRDefault="000C35B1" w:rsidP="00002C6B">
            <w:pPr>
              <w:jc w:val="center"/>
              <w:rPr>
                <w:sz w:val="22"/>
                <w:szCs w:val="22"/>
              </w:rPr>
            </w:pPr>
          </w:p>
        </w:tc>
        <w:tc>
          <w:tcPr>
            <w:tcW w:w="900" w:type="dxa"/>
            <w:vMerge/>
            <w:shd w:val="clear" w:color="auto" w:fill="auto"/>
            <w:vAlign w:val="center"/>
            <w:hideMark/>
          </w:tcPr>
          <w:p w14:paraId="17728CD3" w14:textId="77777777" w:rsidR="000C35B1" w:rsidRPr="00AE261D" w:rsidRDefault="000C35B1" w:rsidP="00002C6B">
            <w:pPr>
              <w:jc w:val="center"/>
              <w:rPr>
                <w:sz w:val="22"/>
                <w:szCs w:val="22"/>
              </w:rPr>
            </w:pPr>
          </w:p>
        </w:tc>
        <w:tc>
          <w:tcPr>
            <w:tcW w:w="1878" w:type="dxa"/>
            <w:shd w:val="clear" w:color="auto" w:fill="auto"/>
            <w:vAlign w:val="center"/>
            <w:hideMark/>
          </w:tcPr>
          <w:p w14:paraId="209148A8"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009D0BE2" w14:textId="77777777" w:rsidR="000C35B1" w:rsidRPr="00AE261D" w:rsidRDefault="000C35B1" w:rsidP="00002C6B">
            <w:pPr>
              <w:jc w:val="both"/>
              <w:rPr>
                <w:sz w:val="22"/>
                <w:szCs w:val="22"/>
              </w:rPr>
            </w:pPr>
          </w:p>
        </w:tc>
        <w:tc>
          <w:tcPr>
            <w:tcW w:w="1316" w:type="dxa"/>
            <w:vMerge/>
            <w:shd w:val="clear" w:color="auto" w:fill="auto"/>
            <w:vAlign w:val="center"/>
            <w:hideMark/>
          </w:tcPr>
          <w:p w14:paraId="23DD8F15" w14:textId="77777777" w:rsidR="000C35B1" w:rsidRPr="00AE261D" w:rsidRDefault="000C35B1" w:rsidP="00002C6B">
            <w:pPr>
              <w:jc w:val="both"/>
              <w:rPr>
                <w:sz w:val="22"/>
                <w:szCs w:val="22"/>
              </w:rPr>
            </w:pPr>
          </w:p>
        </w:tc>
        <w:tc>
          <w:tcPr>
            <w:tcW w:w="2190" w:type="dxa"/>
            <w:shd w:val="clear" w:color="auto" w:fill="auto"/>
            <w:vAlign w:val="center"/>
            <w:hideMark/>
          </w:tcPr>
          <w:p w14:paraId="05C6D207"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37741AC4" w14:textId="77777777" w:rsidR="000C35B1" w:rsidRPr="00AE261D" w:rsidRDefault="000C35B1" w:rsidP="00002C6B">
            <w:pPr>
              <w:jc w:val="center"/>
              <w:rPr>
                <w:sz w:val="22"/>
                <w:szCs w:val="22"/>
              </w:rPr>
            </w:pPr>
          </w:p>
        </w:tc>
      </w:tr>
      <w:tr w:rsidR="00002C6B" w:rsidRPr="00AE261D" w14:paraId="32B1C818" w14:textId="77777777" w:rsidTr="00C20CC4">
        <w:trPr>
          <w:trHeight w:val="617"/>
        </w:trPr>
        <w:tc>
          <w:tcPr>
            <w:tcW w:w="632" w:type="dxa"/>
            <w:vMerge w:val="restart"/>
            <w:shd w:val="clear" w:color="auto" w:fill="auto"/>
            <w:vAlign w:val="center"/>
            <w:hideMark/>
          </w:tcPr>
          <w:p w14:paraId="648A8E53" w14:textId="77777777" w:rsidR="000C35B1" w:rsidRPr="00AE261D" w:rsidRDefault="000C35B1" w:rsidP="00002C6B">
            <w:pPr>
              <w:jc w:val="center"/>
              <w:rPr>
                <w:sz w:val="22"/>
                <w:szCs w:val="22"/>
              </w:rPr>
            </w:pPr>
            <w:r w:rsidRPr="00AE261D">
              <w:rPr>
                <w:sz w:val="22"/>
                <w:szCs w:val="22"/>
              </w:rPr>
              <w:t>14</w:t>
            </w:r>
          </w:p>
        </w:tc>
        <w:tc>
          <w:tcPr>
            <w:tcW w:w="2504" w:type="dxa"/>
            <w:vMerge w:val="restart"/>
            <w:shd w:val="clear" w:color="auto" w:fill="auto"/>
            <w:vAlign w:val="center"/>
            <w:hideMark/>
          </w:tcPr>
          <w:p w14:paraId="3282EB15" w14:textId="696E773D" w:rsidR="000C35B1" w:rsidRPr="00AE261D" w:rsidRDefault="000C35B1" w:rsidP="00002C6B">
            <w:pPr>
              <w:jc w:val="both"/>
              <w:rPr>
                <w:sz w:val="22"/>
                <w:szCs w:val="22"/>
              </w:rPr>
            </w:pPr>
            <w:r w:rsidRPr="00AE261D">
              <w:rPr>
                <w:sz w:val="22"/>
                <w:szCs w:val="22"/>
              </w:rPr>
              <w:t>Khu đất 250,</w:t>
            </w:r>
            <w:r w:rsidR="004E188A" w:rsidRPr="00AE261D">
              <w:rPr>
                <w:sz w:val="22"/>
                <w:szCs w:val="22"/>
              </w:rPr>
              <w:t>0 ha tại x</w:t>
            </w:r>
            <w:r w:rsidRPr="00AE261D">
              <w:rPr>
                <w:sz w:val="22"/>
                <w:szCs w:val="22"/>
              </w:rPr>
              <w:t>ã Dầu Giây (Tên cũ: Xã Bàu Hàm 2, huyện Thống Nhất)</w:t>
            </w:r>
          </w:p>
        </w:tc>
        <w:tc>
          <w:tcPr>
            <w:tcW w:w="947" w:type="dxa"/>
            <w:vMerge w:val="restart"/>
            <w:shd w:val="clear" w:color="auto" w:fill="auto"/>
            <w:vAlign w:val="center"/>
            <w:hideMark/>
          </w:tcPr>
          <w:p w14:paraId="638151CE" w14:textId="77777777" w:rsidR="000C35B1" w:rsidRPr="00AE261D" w:rsidRDefault="000C35B1" w:rsidP="00002C6B">
            <w:pPr>
              <w:jc w:val="center"/>
              <w:rPr>
                <w:sz w:val="22"/>
                <w:szCs w:val="22"/>
              </w:rPr>
            </w:pPr>
            <w:r w:rsidRPr="00AE261D">
              <w:rPr>
                <w:sz w:val="22"/>
                <w:szCs w:val="22"/>
              </w:rPr>
              <w:t>Dầu Giây</w:t>
            </w:r>
          </w:p>
        </w:tc>
        <w:tc>
          <w:tcPr>
            <w:tcW w:w="829" w:type="dxa"/>
            <w:vMerge w:val="restart"/>
            <w:shd w:val="clear" w:color="auto" w:fill="auto"/>
            <w:vAlign w:val="center"/>
            <w:hideMark/>
          </w:tcPr>
          <w:p w14:paraId="732C291E" w14:textId="77777777" w:rsidR="000C35B1" w:rsidRPr="00AE261D" w:rsidRDefault="000C35B1" w:rsidP="00002C6B">
            <w:pPr>
              <w:jc w:val="center"/>
              <w:rPr>
                <w:sz w:val="22"/>
                <w:szCs w:val="22"/>
              </w:rPr>
            </w:pPr>
          </w:p>
        </w:tc>
        <w:tc>
          <w:tcPr>
            <w:tcW w:w="840" w:type="dxa"/>
            <w:vMerge w:val="restart"/>
            <w:shd w:val="clear" w:color="auto" w:fill="auto"/>
            <w:vAlign w:val="center"/>
            <w:hideMark/>
          </w:tcPr>
          <w:p w14:paraId="00326993" w14:textId="77777777" w:rsidR="000C35B1" w:rsidRPr="00AE261D" w:rsidRDefault="000C35B1" w:rsidP="00002C6B">
            <w:pPr>
              <w:jc w:val="center"/>
              <w:rPr>
                <w:sz w:val="22"/>
                <w:szCs w:val="22"/>
              </w:rPr>
            </w:pPr>
          </w:p>
        </w:tc>
        <w:tc>
          <w:tcPr>
            <w:tcW w:w="1030" w:type="dxa"/>
            <w:vMerge w:val="restart"/>
            <w:shd w:val="clear" w:color="auto" w:fill="auto"/>
            <w:vAlign w:val="center"/>
            <w:hideMark/>
          </w:tcPr>
          <w:p w14:paraId="2908E1AE" w14:textId="77777777" w:rsidR="000C35B1" w:rsidRPr="00AE261D" w:rsidRDefault="000C35B1" w:rsidP="00002C6B">
            <w:pPr>
              <w:jc w:val="center"/>
              <w:rPr>
                <w:sz w:val="22"/>
                <w:szCs w:val="22"/>
              </w:rPr>
            </w:pPr>
            <w:r w:rsidRPr="00AE261D">
              <w:rPr>
                <w:sz w:val="22"/>
                <w:szCs w:val="22"/>
              </w:rPr>
              <w:t>250,00</w:t>
            </w:r>
          </w:p>
        </w:tc>
        <w:tc>
          <w:tcPr>
            <w:tcW w:w="900" w:type="dxa"/>
            <w:vMerge w:val="restart"/>
            <w:shd w:val="clear" w:color="auto" w:fill="auto"/>
            <w:vAlign w:val="center"/>
            <w:hideMark/>
          </w:tcPr>
          <w:p w14:paraId="54C6894F" w14:textId="77777777" w:rsidR="000C35B1" w:rsidRPr="00AE261D" w:rsidRDefault="000C35B1" w:rsidP="00002C6B">
            <w:pPr>
              <w:jc w:val="center"/>
              <w:rPr>
                <w:sz w:val="22"/>
                <w:szCs w:val="22"/>
              </w:rPr>
            </w:pPr>
            <w:r w:rsidRPr="00AE261D">
              <w:rPr>
                <w:sz w:val="22"/>
                <w:szCs w:val="22"/>
              </w:rPr>
              <w:t>ONT</w:t>
            </w:r>
          </w:p>
        </w:tc>
        <w:tc>
          <w:tcPr>
            <w:tcW w:w="1878" w:type="dxa"/>
            <w:shd w:val="clear" w:color="auto" w:fill="auto"/>
            <w:vAlign w:val="center"/>
            <w:hideMark/>
          </w:tcPr>
          <w:p w14:paraId="5F8E6D4B" w14:textId="77777777" w:rsidR="000C35B1" w:rsidRPr="00AE261D" w:rsidRDefault="000C35B1" w:rsidP="00002C6B">
            <w:pPr>
              <w:jc w:val="center"/>
              <w:rPr>
                <w:sz w:val="22"/>
                <w:szCs w:val="22"/>
              </w:rPr>
            </w:pPr>
            <w:r w:rsidRPr="00AE261D">
              <w:rPr>
                <w:sz w:val="22"/>
                <w:szCs w:val="22"/>
              </w:rPr>
              <w:t>3.273,13</w:t>
            </w:r>
          </w:p>
        </w:tc>
        <w:tc>
          <w:tcPr>
            <w:tcW w:w="1086" w:type="dxa"/>
            <w:vMerge w:val="restart"/>
            <w:shd w:val="clear" w:color="auto" w:fill="auto"/>
            <w:vAlign w:val="center"/>
            <w:hideMark/>
          </w:tcPr>
          <w:p w14:paraId="7603CF07"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0B2A3842" w14:textId="77777777" w:rsidR="000C35B1" w:rsidRPr="00AE261D" w:rsidRDefault="000C35B1" w:rsidP="00002C6B">
            <w:pPr>
              <w:jc w:val="center"/>
              <w:rPr>
                <w:sz w:val="22"/>
                <w:szCs w:val="22"/>
              </w:rPr>
            </w:pPr>
            <w:r w:rsidRPr="00AE261D">
              <w:rPr>
                <w:sz w:val="22"/>
                <w:szCs w:val="22"/>
              </w:rPr>
              <w:t>10.000.000</w:t>
            </w:r>
          </w:p>
        </w:tc>
        <w:tc>
          <w:tcPr>
            <w:tcW w:w="2190" w:type="dxa"/>
            <w:shd w:val="clear" w:color="auto" w:fill="auto"/>
            <w:vAlign w:val="center"/>
            <w:hideMark/>
          </w:tcPr>
          <w:p w14:paraId="6DBCE110" w14:textId="77777777" w:rsidR="000C35B1" w:rsidRPr="00AE261D" w:rsidRDefault="000C35B1" w:rsidP="00002C6B">
            <w:pPr>
              <w:jc w:val="center"/>
              <w:rPr>
                <w:sz w:val="22"/>
                <w:szCs w:val="22"/>
              </w:rPr>
            </w:pPr>
            <w:r w:rsidRPr="00AE261D">
              <w:rPr>
                <w:sz w:val="22"/>
                <w:szCs w:val="22"/>
              </w:rPr>
              <w:t>8.750,00</w:t>
            </w:r>
          </w:p>
        </w:tc>
        <w:tc>
          <w:tcPr>
            <w:tcW w:w="684" w:type="dxa"/>
            <w:vMerge w:val="restart"/>
            <w:shd w:val="clear" w:color="auto" w:fill="auto"/>
            <w:vAlign w:val="center"/>
            <w:hideMark/>
          </w:tcPr>
          <w:p w14:paraId="02131FA6" w14:textId="77777777" w:rsidR="000C35B1" w:rsidRPr="00AE261D" w:rsidRDefault="000C35B1" w:rsidP="00002C6B">
            <w:pPr>
              <w:jc w:val="center"/>
              <w:rPr>
                <w:sz w:val="22"/>
                <w:szCs w:val="22"/>
              </w:rPr>
            </w:pPr>
          </w:p>
        </w:tc>
      </w:tr>
      <w:tr w:rsidR="00002C6B" w:rsidRPr="00AE261D" w14:paraId="616FED2B" w14:textId="77777777" w:rsidTr="00DF3719">
        <w:trPr>
          <w:trHeight w:val="1695"/>
        </w:trPr>
        <w:tc>
          <w:tcPr>
            <w:tcW w:w="632" w:type="dxa"/>
            <w:vMerge/>
            <w:shd w:val="clear" w:color="auto" w:fill="auto"/>
            <w:vAlign w:val="center"/>
            <w:hideMark/>
          </w:tcPr>
          <w:p w14:paraId="695621AD" w14:textId="77777777" w:rsidR="000C35B1" w:rsidRPr="00AE261D" w:rsidRDefault="000C35B1" w:rsidP="00002C6B">
            <w:pPr>
              <w:jc w:val="center"/>
              <w:rPr>
                <w:sz w:val="22"/>
                <w:szCs w:val="22"/>
              </w:rPr>
            </w:pPr>
          </w:p>
        </w:tc>
        <w:tc>
          <w:tcPr>
            <w:tcW w:w="2504" w:type="dxa"/>
            <w:vMerge/>
            <w:shd w:val="clear" w:color="auto" w:fill="auto"/>
            <w:vAlign w:val="center"/>
            <w:hideMark/>
          </w:tcPr>
          <w:p w14:paraId="2856DC57" w14:textId="77777777" w:rsidR="000C35B1" w:rsidRPr="00AE261D" w:rsidRDefault="000C35B1" w:rsidP="00002C6B">
            <w:pPr>
              <w:jc w:val="both"/>
              <w:rPr>
                <w:sz w:val="22"/>
                <w:szCs w:val="22"/>
              </w:rPr>
            </w:pPr>
          </w:p>
        </w:tc>
        <w:tc>
          <w:tcPr>
            <w:tcW w:w="947" w:type="dxa"/>
            <w:vMerge/>
            <w:shd w:val="clear" w:color="auto" w:fill="auto"/>
            <w:vAlign w:val="center"/>
            <w:hideMark/>
          </w:tcPr>
          <w:p w14:paraId="274FBE10" w14:textId="77777777" w:rsidR="000C35B1" w:rsidRPr="00AE261D" w:rsidRDefault="000C35B1" w:rsidP="00002C6B">
            <w:pPr>
              <w:jc w:val="center"/>
              <w:rPr>
                <w:sz w:val="22"/>
                <w:szCs w:val="22"/>
              </w:rPr>
            </w:pPr>
          </w:p>
        </w:tc>
        <w:tc>
          <w:tcPr>
            <w:tcW w:w="829" w:type="dxa"/>
            <w:vMerge/>
            <w:shd w:val="clear" w:color="auto" w:fill="auto"/>
            <w:vAlign w:val="center"/>
            <w:hideMark/>
          </w:tcPr>
          <w:p w14:paraId="393B3817" w14:textId="77777777" w:rsidR="000C35B1" w:rsidRPr="00AE261D" w:rsidRDefault="000C35B1" w:rsidP="00002C6B">
            <w:pPr>
              <w:jc w:val="center"/>
              <w:rPr>
                <w:sz w:val="22"/>
                <w:szCs w:val="22"/>
              </w:rPr>
            </w:pPr>
          </w:p>
        </w:tc>
        <w:tc>
          <w:tcPr>
            <w:tcW w:w="840" w:type="dxa"/>
            <w:vMerge/>
            <w:shd w:val="clear" w:color="auto" w:fill="auto"/>
            <w:vAlign w:val="center"/>
            <w:hideMark/>
          </w:tcPr>
          <w:p w14:paraId="2FE3A0C0" w14:textId="77777777" w:rsidR="000C35B1" w:rsidRPr="00AE261D" w:rsidRDefault="000C35B1" w:rsidP="00002C6B">
            <w:pPr>
              <w:jc w:val="center"/>
              <w:rPr>
                <w:sz w:val="22"/>
                <w:szCs w:val="22"/>
              </w:rPr>
            </w:pPr>
          </w:p>
        </w:tc>
        <w:tc>
          <w:tcPr>
            <w:tcW w:w="1030" w:type="dxa"/>
            <w:vMerge/>
            <w:shd w:val="clear" w:color="auto" w:fill="auto"/>
            <w:vAlign w:val="center"/>
            <w:hideMark/>
          </w:tcPr>
          <w:p w14:paraId="4A9AA9C9" w14:textId="77777777" w:rsidR="000C35B1" w:rsidRPr="00AE261D" w:rsidRDefault="000C35B1" w:rsidP="00002C6B">
            <w:pPr>
              <w:jc w:val="center"/>
              <w:rPr>
                <w:sz w:val="22"/>
                <w:szCs w:val="22"/>
              </w:rPr>
            </w:pPr>
          </w:p>
        </w:tc>
        <w:tc>
          <w:tcPr>
            <w:tcW w:w="900" w:type="dxa"/>
            <w:vMerge/>
            <w:shd w:val="clear" w:color="auto" w:fill="auto"/>
            <w:vAlign w:val="center"/>
            <w:hideMark/>
          </w:tcPr>
          <w:p w14:paraId="2A705B2A" w14:textId="77777777" w:rsidR="000C35B1" w:rsidRPr="00AE261D" w:rsidRDefault="000C35B1" w:rsidP="00002C6B">
            <w:pPr>
              <w:jc w:val="center"/>
              <w:rPr>
                <w:sz w:val="22"/>
                <w:szCs w:val="22"/>
              </w:rPr>
            </w:pPr>
          </w:p>
        </w:tc>
        <w:tc>
          <w:tcPr>
            <w:tcW w:w="1878" w:type="dxa"/>
            <w:shd w:val="clear" w:color="auto" w:fill="auto"/>
            <w:vAlign w:val="center"/>
            <w:hideMark/>
          </w:tcPr>
          <w:p w14:paraId="33661740"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6E96C68B" w14:textId="77777777" w:rsidR="000C35B1" w:rsidRPr="00AE261D" w:rsidRDefault="000C35B1" w:rsidP="00002C6B">
            <w:pPr>
              <w:jc w:val="both"/>
              <w:rPr>
                <w:sz w:val="22"/>
                <w:szCs w:val="22"/>
              </w:rPr>
            </w:pPr>
          </w:p>
        </w:tc>
        <w:tc>
          <w:tcPr>
            <w:tcW w:w="1316" w:type="dxa"/>
            <w:vMerge/>
            <w:shd w:val="clear" w:color="auto" w:fill="auto"/>
            <w:vAlign w:val="center"/>
            <w:hideMark/>
          </w:tcPr>
          <w:p w14:paraId="294BA999" w14:textId="77777777" w:rsidR="000C35B1" w:rsidRPr="00AE261D" w:rsidRDefault="000C35B1" w:rsidP="00002C6B">
            <w:pPr>
              <w:jc w:val="both"/>
              <w:rPr>
                <w:sz w:val="22"/>
                <w:szCs w:val="22"/>
              </w:rPr>
            </w:pPr>
          </w:p>
        </w:tc>
        <w:tc>
          <w:tcPr>
            <w:tcW w:w="2190" w:type="dxa"/>
            <w:shd w:val="clear" w:color="auto" w:fill="auto"/>
            <w:vAlign w:val="center"/>
            <w:hideMark/>
          </w:tcPr>
          <w:p w14:paraId="56B62A06"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2577010C" w14:textId="77777777" w:rsidR="000C35B1" w:rsidRPr="00AE261D" w:rsidRDefault="000C35B1" w:rsidP="00002C6B">
            <w:pPr>
              <w:jc w:val="center"/>
              <w:rPr>
                <w:sz w:val="22"/>
                <w:szCs w:val="22"/>
              </w:rPr>
            </w:pPr>
          </w:p>
        </w:tc>
      </w:tr>
      <w:tr w:rsidR="00002C6B" w:rsidRPr="00AE261D" w14:paraId="7E76ADC0" w14:textId="77777777" w:rsidTr="00C20CC4">
        <w:trPr>
          <w:trHeight w:val="575"/>
        </w:trPr>
        <w:tc>
          <w:tcPr>
            <w:tcW w:w="632" w:type="dxa"/>
            <w:vMerge w:val="restart"/>
            <w:shd w:val="clear" w:color="auto" w:fill="auto"/>
            <w:vAlign w:val="center"/>
            <w:hideMark/>
          </w:tcPr>
          <w:p w14:paraId="1DEA7339" w14:textId="77777777" w:rsidR="000C35B1" w:rsidRPr="00AE261D" w:rsidRDefault="000C35B1" w:rsidP="00002C6B">
            <w:pPr>
              <w:jc w:val="center"/>
              <w:rPr>
                <w:sz w:val="22"/>
                <w:szCs w:val="22"/>
              </w:rPr>
            </w:pPr>
            <w:r w:rsidRPr="00AE261D">
              <w:rPr>
                <w:sz w:val="22"/>
                <w:szCs w:val="22"/>
              </w:rPr>
              <w:t>15</w:t>
            </w:r>
          </w:p>
        </w:tc>
        <w:tc>
          <w:tcPr>
            <w:tcW w:w="2504" w:type="dxa"/>
            <w:vMerge w:val="restart"/>
            <w:shd w:val="clear" w:color="auto" w:fill="auto"/>
            <w:vAlign w:val="center"/>
            <w:hideMark/>
          </w:tcPr>
          <w:p w14:paraId="46531B10" w14:textId="77777777" w:rsidR="000C35B1" w:rsidRPr="00AE261D" w:rsidRDefault="000C35B1" w:rsidP="00002C6B">
            <w:pPr>
              <w:jc w:val="both"/>
              <w:rPr>
                <w:sz w:val="22"/>
                <w:szCs w:val="22"/>
              </w:rPr>
            </w:pPr>
            <w:r w:rsidRPr="00AE261D">
              <w:rPr>
                <w:sz w:val="22"/>
                <w:szCs w:val="22"/>
              </w:rPr>
              <w:t>Khu đất 163,0ha tại Phường Hàng Gòn (Tên cũ: Xã Hàng Gòn, thành phố Long Khánh)</w:t>
            </w:r>
          </w:p>
        </w:tc>
        <w:tc>
          <w:tcPr>
            <w:tcW w:w="947" w:type="dxa"/>
            <w:vMerge w:val="restart"/>
            <w:shd w:val="clear" w:color="auto" w:fill="auto"/>
            <w:vAlign w:val="center"/>
            <w:hideMark/>
          </w:tcPr>
          <w:p w14:paraId="7D4207FB" w14:textId="77777777" w:rsidR="000C35B1" w:rsidRPr="00AE261D" w:rsidRDefault="000C35B1" w:rsidP="00002C6B">
            <w:pPr>
              <w:jc w:val="center"/>
              <w:rPr>
                <w:sz w:val="22"/>
                <w:szCs w:val="22"/>
              </w:rPr>
            </w:pPr>
            <w:r w:rsidRPr="00AE261D">
              <w:rPr>
                <w:sz w:val="22"/>
                <w:szCs w:val="22"/>
              </w:rPr>
              <w:t>Hàng Gòn</w:t>
            </w:r>
          </w:p>
        </w:tc>
        <w:tc>
          <w:tcPr>
            <w:tcW w:w="829" w:type="dxa"/>
            <w:vMerge w:val="restart"/>
            <w:shd w:val="clear" w:color="auto" w:fill="auto"/>
            <w:vAlign w:val="center"/>
            <w:hideMark/>
          </w:tcPr>
          <w:p w14:paraId="693919D9" w14:textId="77777777" w:rsidR="000C35B1" w:rsidRPr="00AE261D" w:rsidRDefault="000C35B1" w:rsidP="00002C6B">
            <w:pPr>
              <w:jc w:val="center"/>
              <w:rPr>
                <w:sz w:val="22"/>
                <w:szCs w:val="22"/>
              </w:rPr>
            </w:pPr>
          </w:p>
        </w:tc>
        <w:tc>
          <w:tcPr>
            <w:tcW w:w="840" w:type="dxa"/>
            <w:vMerge w:val="restart"/>
            <w:shd w:val="clear" w:color="auto" w:fill="auto"/>
            <w:vAlign w:val="center"/>
            <w:hideMark/>
          </w:tcPr>
          <w:p w14:paraId="4EA188CD" w14:textId="77777777" w:rsidR="000C35B1" w:rsidRPr="00AE261D" w:rsidRDefault="000C35B1" w:rsidP="00002C6B">
            <w:pPr>
              <w:jc w:val="center"/>
              <w:rPr>
                <w:sz w:val="22"/>
                <w:szCs w:val="22"/>
              </w:rPr>
            </w:pPr>
          </w:p>
        </w:tc>
        <w:tc>
          <w:tcPr>
            <w:tcW w:w="1030" w:type="dxa"/>
            <w:vMerge w:val="restart"/>
            <w:shd w:val="clear" w:color="auto" w:fill="auto"/>
            <w:vAlign w:val="center"/>
            <w:hideMark/>
          </w:tcPr>
          <w:p w14:paraId="2609FAB0" w14:textId="77777777" w:rsidR="000C35B1" w:rsidRPr="00AE261D" w:rsidRDefault="000C35B1" w:rsidP="00002C6B">
            <w:pPr>
              <w:jc w:val="center"/>
              <w:rPr>
                <w:sz w:val="22"/>
                <w:szCs w:val="22"/>
              </w:rPr>
            </w:pPr>
            <w:r w:rsidRPr="00AE261D">
              <w:rPr>
                <w:sz w:val="22"/>
                <w:szCs w:val="22"/>
              </w:rPr>
              <w:t>163,00</w:t>
            </w:r>
          </w:p>
        </w:tc>
        <w:tc>
          <w:tcPr>
            <w:tcW w:w="900" w:type="dxa"/>
            <w:vMerge w:val="restart"/>
            <w:shd w:val="clear" w:color="auto" w:fill="auto"/>
            <w:vAlign w:val="center"/>
            <w:hideMark/>
          </w:tcPr>
          <w:p w14:paraId="67E30016" w14:textId="77777777" w:rsidR="000C35B1" w:rsidRPr="00AE261D" w:rsidRDefault="000C35B1" w:rsidP="00002C6B">
            <w:pPr>
              <w:jc w:val="center"/>
              <w:rPr>
                <w:sz w:val="22"/>
                <w:szCs w:val="22"/>
              </w:rPr>
            </w:pPr>
            <w:r w:rsidRPr="00AE261D">
              <w:rPr>
                <w:sz w:val="22"/>
                <w:szCs w:val="22"/>
              </w:rPr>
              <w:t>ONT</w:t>
            </w:r>
          </w:p>
        </w:tc>
        <w:tc>
          <w:tcPr>
            <w:tcW w:w="1878" w:type="dxa"/>
            <w:shd w:val="clear" w:color="auto" w:fill="auto"/>
            <w:vAlign w:val="center"/>
            <w:hideMark/>
          </w:tcPr>
          <w:p w14:paraId="0A873725" w14:textId="77777777" w:rsidR="000C35B1" w:rsidRPr="00AE261D" w:rsidRDefault="000C35B1" w:rsidP="00002C6B">
            <w:pPr>
              <w:jc w:val="center"/>
              <w:rPr>
                <w:sz w:val="22"/>
                <w:szCs w:val="22"/>
              </w:rPr>
            </w:pPr>
            <w:r w:rsidRPr="00AE261D">
              <w:rPr>
                <w:sz w:val="22"/>
                <w:szCs w:val="22"/>
              </w:rPr>
              <w:t>848,79</w:t>
            </w:r>
          </w:p>
        </w:tc>
        <w:tc>
          <w:tcPr>
            <w:tcW w:w="1086" w:type="dxa"/>
            <w:vMerge w:val="restart"/>
            <w:shd w:val="clear" w:color="auto" w:fill="auto"/>
            <w:vAlign w:val="center"/>
            <w:hideMark/>
          </w:tcPr>
          <w:p w14:paraId="005B302E"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45540EDB" w14:textId="77777777" w:rsidR="000C35B1" w:rsidRPr="00AE261D" w:rsidRDefault="000C35B1" w:rsidP="00002C6B">
            <w:pPr>
              <w:jc w:val="center"/>
              <w:rPr>
                <w:sz w:val="22"/>
                <w:szCs w:val="22"/>
              </w:rPr>
            </w:pPr>
            <w:r w:rsidRPr="00AE261D">
              <w:rPr>
                <w:sz w:val="22"/>
                <w:szCs w:val="22"/>
              </w:rPr>
              <w:t>5.000.000</w:t>
            </w:r>
          </w:p>
        </w:tc>
        <w:tc>
          <w:tcPr>
            <w:tcW w:w="2190" w:type="dxa"/>
            <w:shd w:val="clear" w:color="auto" w:fill="auto"/>
            <w:vAlign w:val="center"/>
            <w:hideMark/>
          </w:tcPr>
          <w:p w14:paraId="44CABF9A" w14:textId="77777777" w:rsidR="000C35B1" w:rsidRPr="00AE261D" w:rsidRDefault="000C35B1" w:rsidP="00002C6B">
            <w:pPr>
              <w:jc w:val="center"/>
              <w:rPr>
                <w:sz w:val="22"/>
                <w:szCs w:val="22"/>
              </w:rPr>
            </w:pPr>
            <w:r w:rsidRPr="00AE261D">
              <w:rPr>
                <w:sz w:val="22"/>
                <w:szCs w:val="22"/>
              </w:rPr>
              <w:t>2.852,50</w:t>
            </w:r>
          </w:p>
        </w:tc>
        <w:tc>
          <w:tcPr>
            <w:tcW w:w="684" w:type="dxa"/>
            <w:vMerge w:val="restart"/>
            <w:shd w:val="clear" w:color="auto" w:fill="auto"/>
            <w:vAlign w:val="center"/>
            <w:hideMark/>
          </w:tcPr>
          <w:p w14:paraId="31254938" w14:textId="77777777" w:rsidR="000C35B1" w:rsidRPr="00AE261D" w:rsidRDefault="000C35B1" w:rsidP="00002C6B">
            <w:pPr>
              <w:jc w:val="center"/>
              <w:rPr>
                <w:sz w:val="22"/>
                <w:szCs w:val="22"/>
              </w:rPr>
            </w:pPr>
          </w:p>
        </w:tc>
      </w:tr>
      <w:tr w:rsidR="00002C6B" w:rsidRPr="00AE261D" w14:paraId="41B3D66D" w14:textId="77777777" w:rsidTr="00DF3719">
        <w:trPr>
          <w:trHeight w:val="1658"/>
        </w:trPr>
        <w:tc>
          <w:tcPr>
            <w:tcW w:w="632" w:type="dxa"/>
            <w:vMerge/>
            <w:shd w:val="clear" w:color="auto" w:fill="auto"/>
            <w:vAlign w:val="center"/>
            <w:hideMark/>
          </w:tcPr>
          <w:p w14:paraId="29F498BC" w14:textId="77777777" w:rsidR="000C35B1" w:rsidRPr="00AE261D" w:rsidRDefault="000C35B1" w:rsidP="00002C6B">
            <w:pPr>
              <w:jc w:val="center"/>
              <w:rPr>
                <w:sz w:val="22"/>
                <w:szCs w:val="22"/>
              </w:rPr>
            </w:pPr>
          </w:p>
        </w:tc>
        <w:tc>
          <w:tcPr>
            <w:tcW w:w="2504" w:type="dxa"/>
            <w:vMerge/>
            <w:shd w:val="clear" w:color="auto" w:fill="auto"/>
            <w:vAlign w:val="center"/>
            <w:hideMark/>
          </w:tcPr>
          <w:p w14:paraId="2794330C" w14:textId="77777777" w:rsidR="000C35B1" w:rsidRPr="00AE261D" w:rsidRDefault="000C35B1" w:rsidP="00002C6B">
            <w:pPr>
              <w:jc w:val="both"/>
              <w:rPr>
                <w:sz w:val="22"/>
                <w:szCs w:val="22"/>
              </w:rPr>
            </w:pPr>
          </w:p>
        </w:tc>
        <w:tc>
          <w:tcPr>
            <w:tcW w:w="947" w:type="dxa"/>
            <w:vMerge/>
            <w:shd w:val="clear" w:color="auto" w:fill="auto"/>
            <w:vAlign w:val="center"/>
            <w:hideMark/>
          </w:tcPr>
          <w:p w14:paraId="7B772986" w14:textId="77777777" w:rsidR="000C35B1" w:rsidRPr="00AE261D" w:rsidRDefault="000C35B1" w:rsidP="00002C6B">
            <w:pPr>
              <w:jc w:val="center"/>
              <w:rPr>
                <w:sz w:val="22"/>
                <w:szCs w:val="22"/>
              </w:rPr>
            </w:pPr>
          </w:p>
        </w:tc>
        <w:tc>
          <w:tcPr>
            <w:tcW w:w="829" w:type="dxa"/>
            <w:vMerge/>
            <w:shd w:val="clear" w:color="auto" w:fill="auto"/>
            <w:vAlign w:val="center"/>
            <w:hideMark/>
          </w:tcPr>
          <w:p w14:paraId="2580F58A" w14:textId="77777777" w:rsidR="000C35B1" w:rsidRPr="00AE261D" w:rsidRDefault="000C35B1" w:rsidP="00002C6B">
            <w:pPr>
              <w:jc w:val="center"/>
              <w:rPr>
                <w:sz w:val="22"/>
                <w:szCs w:val="22"/>
              </w:rPr>
            </w:pPr>
          </w:p>
        </w:tc>
        <w:tc>
          <w:tcPr>
            <w:tcW w:w="840" w:type="dxa"/>
            <w:vMerge/>
            <w:shd w:val="clear" w:color="auto" w:fill="auto"/>
            <w:vAlign w:val="center"/>
            <w:hideMark/>
          </w:tcPr>
          <w:p w14:paraId="5F586C59" w14:textId="77777777" w:rsidR="000C35B1" w:rsidRPr="00AE261D" w:rsidRDefault="000C35B1" w:rsidP="00002C6B">
            <w:pPr>
              <w:jc w:val="center"/>
              <w:rPr>
                <w:sz w:val="22"/>
                <w:szCs w:val="22"/>
              </w:rPr>
            </w:pPr>
          </w:p>
        </w:tc>
        <w:tc>
          <w:tcPr>
            <w:tcW w:w="1030" w:type="dxa"/>
            <w:vMerge/>
            <w:shd w:val="clear" w:color="auto" w:fill="auto"/>
            <w:vAlign w:val="center"/>
            <w:hideMark/>
          </w:tcPr>
          <w:p w14:paraId="5E417B88" w14:textId="77777777" w:rsidR="000C35B1" w:rsidRPr="00AE261D" w:rsidRDefault="000C35B1" w:rsidP="00002C6B">
            <w:pPr>
              <w:jc w:val="center"/>
              <w:rPr>
                <w:sz w:val="22"/>
                <w:szCs w:val="22"/>
              </w:rPr>
            </w:pPr>
          </w:p>
        </w:tc>
        <w:tc>
          <w:tcPr>
            <w:tcW w:w="900" w:type="dxa"/>
            <w:vMerge/>
            <w:shd w:val="clear" w:color="auto" w:fill="auto"/>
            <w:vAlign w:val="center"/>
            <w:hideMark/>
          </w:tcPr>
          <w:p w14:paraId="112CEB26" w14:textId="77777777" w:rsidR="000C35B1" w:rsidRPr="00AE261D" w:rsidRDefault="000C35B1" w:rsidP="00002C6B">
            <w:pPr>
              <w:jc w:val="center"/>
              <w:rPr>
                <w:sz w:val="22"/>
                <w:szCs w:val="22"/>
              </w:rPr>
            </w:pPr>
          </w:p>
        </w:tc>
        <w:tc>
          <w:tcPr>
            <w:tcW w:w="1878" w:type="dxa"/>
            <w:shd w:val="clear" w:color="auto" w:fill="auto"/>
            <w:vAlign w:val="center"/>
            <w:hideMark/>
          </w:tcPr>
          <w:p w14:paraId="0345C303"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2656F207" w14:textId="77777777" w:rsidR="000C35B1" w:rsidRPr="00AE261D" w:rsidRDefault="000C35B1" w:rsidP="00002C6B">
            <w:pPr>
              <w:jc w:val="both"/>
              <w:rPr>
                <w:sz w:val="22"/>
                <w:szCs w:val="22"/>
              </w:rPr>
            </w:pPr>
          </w:p>
        </w:tc>
        <w:tc>
          <w:tcPr>
            <w:tcW w:w="1316" w:type="dxa"/>
            <w:vMerge/>
            <w:shd w:val="clear" w:color="auto" w:fill="auto"/>
            <w:vAlign w:val="center"/>
            <w:hideMark/>
          </w:tcPr>
          <w:p w14:paraId="708FC943" w14:textId="77777777" w:rsidR="000C35B1" w:rsidRPr="00AE261D" w:rsidRDefault="000C35B1" w:rsidP="00002C6B">
            <w:pPr>
              <w:jc w:val="both"/>
              <w:rPr>
                <w:sz w:val="22"/>
                <w:szCs w:val="22"/>
              </w:rPr>
            </w:pPr>
          </w:p>
        </w:tc>
        <w:tc>
          <w:tcPr>
            <w:tcW w:w="2190" w:type="dxa"/>
            <w:shd w:val="clear" w:color="auto" w:fill="auto"/>
            <w:vAlign w:val="center"/>
            <w:hideMark/>
          </w:tcPr>
          <w:p w14:paraId="57291490"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5E06B0A7" w14:textId="77777777" w:rsidR="000C35B1" w:rsidRPr="00AE261D" w:rsidRDefault="000C35B1" w:rsidP="00002C6B">
            <w:pPr>
              <w:jc w:val="center"/>
              <w:rPr>
                <w:sz w:val="22"/>
                <w:szCs w:val="22"/>
              </w:rPr>
            </w:pPr>
          </w:p>
        </w:tc>
      </w:tr>
      <w:tr w:rsidR="00002C6B" w:rsidRPr="00AE261D" w14:paraId="0390A082" w14:textId="77777777" w:rsidTr="00DF3719">
        <w:trPr>
          <w:trHeight w:val="900"/>
        </w:trPr>
        <w:tc>
          <w:tcPr>
            <w:tcW w:w="632" w:type="dxa"/>
            <w:vMerge w:val="restart"/>
            <w:shd w:val="clear" w:color="auto" w:fill="auto"/>
            <w:vAlign w:val="center"/>
            <w:hideMark/>
          </w:tcPr>
          <w:p w14:paraId="2B35F2AF" w14:textId="77777777" w:rsidR="000C35B1" w:rsidRPr="00AE261D" w:rsidRDefault="000C35B1" w:rsidP="00002C6B">
            <w:pPr>
              <w:jc w:val="center"/>
              <w:rPr>
                <w:sz w:val="22"/>
                <w:szCs w:val="22"/>
              </w:rPr>
            </w:pPr>
            <w:r w:rsidRPr="00AE261D">
              <w:rPr>
                <w:sz w:val="22"/>
                <w:szCs w:val="22"/>
              </w:rPr>
              <w:lastRenderedPageBreak/>
              <w:t>16</w:t>
            </w:r>
          </w:p>
        </w:tc>
        <w:tc>
          <w:tcPr>
            <w:tcW w:w="2504" w:type="dxa"/>
            <w:vMerge w:val="restart"/>
            <w:shd w:val="clear" w:color="auto" w:fill="auto"/>
            <w:vAlign w:val="center"/>
            <w:hideMark/>
          </w:tcPr>
          <w:p w14:paraId="4FABEA4E" w14:textId="250F167F" w:rsidR="000C35B1" w:rsidRPr="00AE261D" w:rsidRDefault="004E188A" w:rsidP="00002C6B">
            <w:pPr>
              <w:jc w:val="both"/>
              <w:rPr>
                <w:sz w:val="22"/>
                <w:szCs w:val="22"/>
              </w:rPr>
            </w:pPr>
            <w:r w:rsidRPr="00AE261D">
              <w:rPr>
                <w:sz w:val="22"/>
                <w:szCs w:val="22"/>
              </w:rPr>
              <w:t>Khu đất 180ha tại x</w:t>
            </w:r>
            <w:r w:rsidR="000C35B1" w:rsidRPr="00AE261D">
              <w:rPr>
                <w:sz w:val="22"/>
                <w:szCs w:val="22"/>
              </w:rPr>
              <w:t>ã Xuân Đường (Tên cũ: Xã Xuân Đường, huyện Cẩm Mỹ)</w:t>
            </w:r>
          </w:p>
        </w:tc>
        <w:tc>
          <w:tcPr>
            <w:tcW w:w="947" w:type="dxa"/>
            <w:vMerge w:val="restart"/>
            <w:shd w:val="clear" w:color="auto" w:fill="auto"/>
            <w:vAlign w:val="center"/>
            <w:hideMark/>
          </w:tcPr>
          <w:p w14:paraId="11489E29" w14:textId="77777777" w:rsidR="000C35B1" w:rsidRPr="00AE261D" w:rsidRDefault="000C35B1" w:rsidP="00002C6B">
            <w:pPr>
              <w:jc w:val="center"/>
              <w:rPr>
                <w:sz w:val="22"/>
                <w:szCs w:val="22"/>
              </w:rPr>
            </w:pPr>
            <w:r w:rsidRPr="00AE261D">
              <w:rPr>
                <w:sz w:val="22"/>
                <w:szCs w:val="22"/>
              </w:rPr>
              <w:t>Xuân Đường</w:t>
            </w:r>
          </w:p>
        </w:tc>
        <w:tc>
          <w:tcPr>
            <w:tcW w:w="829" w:type="dxa"/>
            <w:vMerge w:val="restart"/>
            <w:shd w:val="clear" w:color="auto" w:fill="auto"/>
            <w:vAlign w:val="center"/>
            <w:hideMark/>
          </w:tcPr>
          <w:p w14:paraId="29E84CFC" w14:textId="77777777" w:rsidR="000C35B1" w:rsidRPr="00AE261D" w:rsidRDefault="000C35B1" w:rsidP="00002C6B">
            <w:pPr>
              <w:jc w:val="center"/>
              <w:rPr>
                <w:sz w:val="22"/>
                <w:szCs w:val="22"/>
              </w:rPr>
            </w:pPr>
          </w:p>
        </w:tc>
        <w:tc>
          <w:tcPr>
            <w:tcW w:w="840" w:type="dxa"/>
            <w:vMerge w:val="restart"/>
            <w:shd w:val="clear" w:color="auto" w:fill="auto"/>
            <w:vAlign w:val="center"/>
            <w:hideMark/>
          </w:tcPr>
          <w:p w14:paraId="4FDE1AF7" w14:textId="77777777" w:rsidR="000C35B1" w:rsidRPr="00AE261D" w:rsidRDefault="000C35B1" w:rsidP="00002C6B">
            <w:pPr>
              <w:jc w:val="center"/>
              <w:rPr>
                <w:sz w:val="22"/>
                <w:szCs w:val="22"/>
              </w:rPr>
            </w:pPr>
          </w:p>
        </w:tc>
        <w:tc>
          <w:tcPr>
            <w:tcW w:w="1030" w:type="dxa"/>
            <w:vMerge w:val="restart"/>
            <w:shd w:val="clear" w:color="auto" w:fill="auto"/>
            <w:vAlign w:val="center"/>
            <w:hideMark/>
          </w:tcPr>
          <w:p w14:paraId="16BD5125" w14:textId="77777777" w:rsidR="000C35B1" w:rsidRPr="00AE261D" w:rsidRDefault="000C35B1" w:rsidP="00002C6B">
            <w:pPr>
              <w:jc w:val="center"/>
              <w:rPr>
                <w:sz w:val="22"/>
                <w:szCs w:val="22"/>
              </w:rPr>
            </w:pPr>
            <w:r w:rsidRPr="00AE261D">
              <w:rPr>
                <w:sz w:val="22"/>
                <w:szCs w:val="22"/>
              </w:rPr>
              <w:t>180,00</w:t>
            </w:r>
          </w:p>
        </w:tc>
        <w:tc>
          <w:tcPr>
            <w:tcW w:w="900" w:type="dxa"/>
            <w:vMerge w:val="restart"/>
            <w:shd w:val="clear" w:color="auto" w:fill="auto"/>
            <w:vAlign w:val="center"/>
            <w:hideMark/>
          </w:tcPr>
          <w:p w14:paraId="77DEC2FE" w14:textId="77777777" w:rsidR="000C35B1" w:rsidRPr="00AE261D" w:rsidRDefault="000C35B1" w:rsidP="00002C6B">
            <w:pPr>
              <w:jc w:val="center"/>
              <w:rPr>
                <w:sz w:val="22"/>
                <w:szCs w:val="22"/>
              </w:rPr>
            </w:pPr>
            <w:r w:rsidRPr="00AE261D">
              <w:rPr>
                <w:sz w:val="22"/>
                <w:szCs w:val="22"/>
              </w:rPr>
              <w:t>ONT</w:t>
            </w:r>
          </w:p>
        </w:tc>
        <w:tc>
          <w:tcPr>
            <w:tcW w:w="1878" w:type="dxa"/>
            <w:shd w:val="clear" w:color="auto" w:fill="auto"/>
            <w:vAlign w:val="center"/>
            <w:hideMark/>
          </w:tcPr>
          <w:p w14:paraId="37EB8036" w14:textId="77777777" w:rsidR="000C35B1" w:rsidRPr="00AE261D" w:rsidRDefault="000C35B1" w:rsidP="00002C6B">
            <w:pPr>
              <w:jc w:val="center"/>
              <w:rPr>
                <w:sz w:val="22"/>
                <w:szCs w:val="22"/>
              </w:rPr>
            </w:pPr>
            <w:r w:rsidRPr="00AE261D">
              <w:rPr>
                <w:sz w:val="22"/>
                <w:szCs w:val="22"/>
              </w:rPr>
              <w:t>1.482,21</w:t>
            </w:r>
          </w:p>
        </w:tc>
        <w:tc>
          <w:tcPr>
            <w:tcW w:w="1086" w:type="dxa"/>
            <w:vMerge w:val="restart"/>
            <w:shd w:val="clear" w:color="auto" w:fill="auto"/>
            <w:vAlign w:val="center"/>
            <w:hideMark/>
          </w:tcPr>
          <w:p w14:paraId="60A26DDC" w14:textId="77777777" w:rsidR="000C35B1" w:rsidRPr="00AE261D" w:rsidRDefault="000C35B1" w:rsidP="00002C6B">
            <w:pPr>
              <w:jc w:val="center"/>
              <w:rPr>
                <w:sz w:val="22"/>
                <w:szCs w:val="22"/>
              </w:rPr>
            </w:pPr>
            <w:r w:rsidRPr="00AE261D">
              <w:rPr>
                <w:sz w:val="22"/>
                <w:szCs w:val="22"/>
              </w:rPr>
              <w:t>Trong các năm</w:t>
            </w:r>
            <w:r w:rsidRPr="00AE261D">
              <w:rPr>
                <w:sz w:val="22"/>
                <w:szCs w:val="22"/>
              </w:rPr>
              <w:br/>
              <w:t xml:space="preserve"> tiếp theo</w:t>
            </w:r>
          </w:p>
        </w:tc>
        <w:tc>
          <w:tcPr>
            <w:tcW w:w="1316" w:type="dxa"/>
            <w:vMerge w:val="restart"/>
            <w:shd w:val="clear" w:color="auto" w:fill="auto"/>
            <w:vAlign w:val="center"/>
            <w:hideMark/>
          </w:tcPr>
          <w:p w14:paraId="525D6D62" w14:textId="77777777" w:rsidR="000C35B1" w:rsidRPr="00AE261D" w:rsidRDefault="000C35B1" w:rsidP="00002C6B">
            <w:pPr>
              <w:jc w:val="center"/>
              <w:rPr>
                <w:sz w:val="22"/>
                <w:szCs w:val="22"/>
              </w:rPr>
            </w:pPr>
            <w:r w:rsidRPr="00AE261D">
              <w:rPr>
                <w:sz w:val="22"/>
                <w:szCs w:val="22"/>
              </w:rPr>
              <w:t>5.000.000</w:t>
            </w:r>
          </w:p>
        </w:tc>
        <w:tc>
          <w:tcPr>
            <w:tcW w:w="2190" w:type="dxa"/>
            <w:shd w:val="clear" w:color="auto" w:fill="auto"/>
            <w:vAlign w:val="center"/>
            <w:hideMark/>
          </w:tcPr>
          <w:p w14:paraId="653A27FC" w14:textId="77777777" w:rsidR="000C35B1" w:rsidRPr="00AE261D" w:rsidRDefault="000C35B1" w:rsidP="00002C6B">
            <w:pPr>
              <w:jc w:val="center"/>
              <w:rPr>
                <w:sz w:val="22"/>
                <w:szCs w:val="22"/>
              </w:rPr>
            </w:pPr>
            <w:r w:rsidRPr="00AE261D">
              <w:rPr>
                <w:sz w:val="22"/>
                <w:szCs w:val="22"/>
              </w:rPr>
              <w:t>3.150,00</w:t>
            </w:r>
          </w:p>
        </w:tc>
        <w:tc>
          <w:tcPr>
            <w:tcW w:w="684" w:type="dxa"/>
            <w:vMerge w:val="restart"/>
            <w:shd w:val="clear" w:color="auto" w:fill="auto"/>
            <w:vAlign w:val="center"/>
            <w:hideMark/>
          </w:tcPr>
          <w:p w14:paraId="031CD128" w14:textId="77777777" w:rsidR="000C35B1" w:rsidRPr="00AE261D" w:rsidRDefault="000C35B1" w:rsidP="00002C6B">
            <w:pPr>
              <w:jc w:val="center"/>
              <w:rPr>
                <w:sz w:val="22"/>
                <w:szCs w:val="22"/>
              </w:rPr>
            </w:pPr>
          </w:p>
        </w:tc>
      </w:tr>
      <w:tr w:rsidR="00002C6B" w:rsidRPr="00AE261D" w14:paraId="1B139760" w14:textId="77777777" w:rsidTr="00DF3719">
        <w:trPr>
          <w:trHeight w:val="1748"/>
        </w:trPr>
        <w:tc>
          <w:tcPr>
            <w:tcW w:w="632" w:type="dxa"/>
            <w:vMerge/>
            <w:shd w:val="clear" w:color="auto" w:fill="auto"/>
            <w:vAlign w:val="center"/>
            <w:hideMark/>
          </w:tcPr>
          <w:p w14:paraId="5E6A5ED0" w14:textId="77777777" w:rsidR="000C35B1" w:rsidRPr="00AE261D" w:rsidRDefault="000C35B1" w:rsidP="00002C6B">
            <w:pPr>
              <w:jc w:val="center"/>
              <w:rPr>
                <w:sz w:val="22"/>
                <w:szCs w:val="22"/>
              </w:rPr>
            </w:pPr>
          </w:p>
        </w:tc>
        <w:tc>
          <w:tcPr>
            <w:tcW w:w="2504" w:type="dxa"/>
            <w:vMerge/>
            <w:shd w:val="clear" w:color="auto" w:fill="auto"/>
            <w:vAlign w:val="center"/>
            <w:hideMark/>
          </w:tcPr>
          <w:p w14:paraId="31C43C41" w14:textId="77777777" w:rsidR="000C35B1" w:rsidRPr="00AE261D" w:rsidRDefault="000C35B1" w:rsidP="00002C6B">
            <w:pPr>
              <w:jc w:val="center"/>
              <w:rPr>
                <w:sz w:val="22"/>
                <w:szCs w:val="22"/>
              </w:rPr>
            </w:pPr>
          </w:p>
        </w:tc>
        <w:tc>
          <w:tcPr>
            <w:tcW w:w="947" w:type="dxa"/>
            <w:vMerge/>
            <w:shd w:val="clear" w:color="auto" w:fill="auto"/>
            <w:vAlign w:val="center"/>
            <w:hideMark/>
          </w:tcPr>
          <w:p w14:paraId="504846FB" w14:textId="77777777" w:rsidR="000C35B1" w:rsidRPr="00AE261D" w:rsidRDefault="000C35B1" w:rsidP="00002C6B">
            <w:pPr>
              <w:jc w:val="center"/>
              <w:rPr>
                <w:sz w:val="22"/>
                <w:szCs w:val="22"/>
              </w:rPr>
            </w:pPr>
          </w:p>
        </w:tc>
        <w:tc>
          <w:tcPr>
            <w:tcW w:w="829" w:type="dxa"/>
            <w:vMerge/>
            <w:shd w:val="clear" w:color="auto" w:fill="auto"/>
            <w:vAlign w:val="center"/>
            <w:hideMark/>
          </w:tcPr>
          <w:p w14:paraId="7FD7DBF4" w14:textId="77777777" w:rsidR="000C35B1" w:rsidRPr="00AE261D" w:rsidRDefault="000C35B1" w:rsidP="00002C6B">
            <w:pPr>
              <w:jc w:val="center"/>
              <w:rPr>
                <w:sz w:val="22"/>
                <w:szCs w:val="22"/>
              </w:rPr>
            </w:pPr>
          </w:p>
        </w:tc>
        <w:tc>
          <w:tcPr>
            <w:tcW w:w="840" w:type="dxa"/>
            <w:vMerge/>
            <w:shd w:val="clear" w:color="auto" w:fill="auto"/>
            <w:vAlign w:val="center"/>
            <w:hideMark/>
          </w:tcPr>
          <w:p w14:paraId="171E1881" w14:textId="77777777" w:rsidR="000C35B1" w:rsidRPr="00AE261D" w:rsidRDefault="000C35B1" w:rsidP="00002C6B">
            <w:pPr>
              <w:jc w:val="center"/>
              <w:rPr>
                <w:sz w:val="22"/>
                <w:szCs w:val="22"/>
              </w:rPr>
            </w:pPr>
          </w:p>
        </w:tc>
        <w:tc>
          <w:tcPr>
            <w:tcW w:w="1030" w:type="dxa"/>
            <w:vMerge/>
            <w:shd w:val="clear" w:color="auto" w:fill="auto"/>
            <w:vAlign w:val="center"/>
            <w:hideMark/>
          </w:tcPr>
          <w:p w14:paraId="789EBFE3" w14:textId="77777777" w:rsidR="000C35B1" w:rsidRPr="00AE261D" w:rsidRDefault="000C35B1" w:rsidP="00002C6B">
            <w:pPr>
              <w:jc w:val="center"/>
              <w:rPr>
                <w:sz w:val="22"/>
                <w:szCs w:val="22"/>
              </w:rPr>
            </w:pPr>
          </w:p>
        </w:tc>
        <w:tc>
          <w:tcPr>
            <w:tcW w:w="900" w:type="dxa"/>
            <w:vMerge/>
            <w:shd w:val="clear" w:color="auto" w:fill="auto"/>
            <w:vAlign w:val="center"/>
            <w:hideMark/>
          </w:tcPr>
          <w:p w14:paraId="7D345C0D" w14:textId="77777777" w:rsidR="000C35B1" w:rsidRPr="00AE261D" w:rsidRDefault="000C35B1" w:rsidP="00002C6B">
            <w:pPr>
              <w:jc w:val="center"/>
              <w:rPr>
                <w:sz w:val="22"/>
                <w:szCs w:val="22"/>
              </w:rPr>
            </w:pPr>
          </w:p>
        </w:tc>
        <w:tc>
          <w:tcPr>
            <w:tcW w:w="1878" w:type="dxa"/>
            <w:shd w:val="clear" w:color="auto" w:fill="auto"/>
            <w:vAlign w:val="center"/>
            <w:hideMark/>
          </w:tcPr>
          <w:p w14:paraId="5CBC50D6" w14:textId="77777777" w:rsidR="000C35B1" w:rsidRPr="00AE261D" w:rsidRDefault="000C35B1" w:rsidP="00002C6B">
            <w:pPr>
              <w:rPr>
                <w:sz w:val="22"/>
                <w:szCs w:val="22"/>
                <w:lang w:val="vi-VN"/>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xml:space="preserve">- Bảng giá đất </w:t>
            </w:r>
            <w:r w:rsidRPr="00AE261D">
              <w:rPr>
                <w:sz w:val="22"/>
                <w:szCs w:val="22"/>
                <w:lang w:val="vi-VN"/>
              </w:rPr>
              <w:t>hằng năm</w:t>
            </w:r>
          </w:p>
        </w:tc>
        <w:tc>
          <w:tcPr>
            <w:tcW w:w="1086" w:type="dxa"/>
            <w:vMerge/>
            <w:shd w:val="clear" w:color="auto" w:fill="auto"/>
            <w:vAlign w:val="center"/>
            <w:hideMark/>
          </w:tcPr>
          <w:p w14:paraId="3F761428" w14:textId="77777777" w:rsidR="000C35B1" w:rsidRPr="00AE261D" w:rsidRDefault="000C35B1" w:rsidP="00002C6B">
            <w:pPr>
              <w:jc w:val="both"/>
              <w:rPr>
                <w:sz w:val="22"/>
                <w:szCs w:val="22"/>
              </w:rPr>
            </w:pPr>
          </w:p>
        </w:tc>
        <w:tc>
          <w:tcPr>
            <w:tcW w:w="1316" w:type="dxa"/>
            <w:vMerge/>
            <w:shd w:val="clear" w:color="auto" w:fill="auto"/>
            <w:vAlign w:val="center"/>
            <w:hideMark/>
          </w:tcPr>
          <w:p w14:paraId="2FF02A62" w14:textId="77777777" w:rsidR="000C35B1" w:rsidRPr="00AE261D" w:rsidRDefault="000C35B1" w:rsidP="00002C6B">
            <w:pPr>
              <w:jc w:val="both"/>
              <w:rPr>
                <w:sz w:val="22"/>
                <w:szCs w:val="22"/>
              </w:rPr>
            </w:pPr>
          </w:p>
        </w:tc>
        <w:tc>
          <w:tcPr>
            <w:tcW w:w="2190" w:type="dxa"/>
            <w:shd w:val="clear" w:color="auto" w:fill="auto"/>
            <w:vAlign w:val="center"/>
            <w:hideMark/>
          </w:tcPr>
          <w:p w14:paraId="2B96C200" w14:textId="77777777" w:rsidR="000C35B1" w:rsidRPr="00AE261D" w:rsidRDefault="000C35B1" w:rsidP="00002C6B">
            <w:pPr>
              <w:rPr>
                <w:sz w:val="22"/>
                <w:szCs w:val="22"/>
              </w:rPr>
            </w:pPr>
            <w:r w:rsidRPr="00AE261D">
              <w:rPr>
                <w:sz w:val="22"/>
                <w:szCs w:val="22"/>
              </w:rPr>
              <w:t xml:space="preserve">Tạm tính: </w:t>
            </w:r>
            <w:r w:rsidRPr="00AE261D">
              <w:rPr>
                <w:sz w:val="22"/>
                <w:szCs w:val="22"/>
              </w:rPr>
              <w:br/>
              <w:t>- Diện tích đất thương phẩm quy đổi ra Đất ở khoảng 50% Tổng diện tích đất;</w:t>
            </w:r>
            <w:r w:rsidRPr="00AE261D">
              <w:rPr>
                <w:sz w:val="22"/>
                <w:szCs w:val="22"/>
              </w:rPr>
              <w:br/>
              <w:t>- Giá khảo sát thị trường</w:t>
            </w:r>
          </w:p>
        </w:tc>
        <w:tc>
          <w:tcPr>
            <w:tcW w:w="684" w:type="dxa"/>
            <w:vMerge/>
            <w:shd w:val="clear" w:color="auto" w:fill="auto"/>
            <w:vAlign w:val="center"/>
            <w:hideMark/>
          </w:tcPr>
          <w:p w14:paraId="519D5004" w14:textId="77777777" w:rsidR="000C35B1" w:rsidRPr="00AE261D" w:rsidRDefault="000C35B1" w:rsidP="00002C6B">
            <w:pPr>
              <w:jc w:val="center"/>
              <w:rPr>
                <w:sz w:val="22"/>
                <w:szCs w:val="22"/>
              </w:rPr>
            </w:pPr>
          </w:p>
        </w:tc>
      </w:tr>
      <w:tr w:rsidR="00002C6B" w:rsidRPr="00AE261D" w14:paraId="0E71EEEC" w14:textId="77777777" w:rsidTr="00DF3719">
        <w:trPr>
          <w:trHeight w:val="425"/>
        </w:trPr>
        <w:tc>
          <w:tcPr>
            <w:tcW w:w="632" w:type="dxa"/>
            <w:shd w:val="clear" w:color="auto" w:fill="auto"/>
            <w:vAlign w:val="center"/>
            <w:hideMark/>
          </w:tcPr>
          <w:p w14:paraId="59A30342" w14:textId="77777777" w:rsidR="000C35B1" w:rsidRPr="00AE261D" w:rsidRDefault="000C35B1" w:rsidP="00002C6B">
            <w:pPr>
              <w:jc w:val="center"/>
              <w:rPr>
                <w:b/>
                <w:bCs/>
                <w:sz w:val="22"/>
                <w:szCs w:val="22"/>
              </w:rPr>
            </w:pPr>
          </w:p>
        </w:tc>
        <w:tc>
          <w:tcPr>
            <w:tcW w:w="2504" w:type="dxa"/>
            <w:shd w:val="clear" w:color="auto" w:fill="auto"/>
            <w:vAlign w:val="center"/>
            <w:hideMark/>
          </w:tcPr>
          <w:p w14:paraId="5DC0DC75" w14:textId="77777777" w:rsidR="000C35B1" w:rsidRPr="00AE261D" w:rsidRDefault="000C35B1" w:rsidP="00002C6B">
            <w:pPr>
              <w:jc w:val="center"/>
              <w:rPr>
                <w:b/>
                <w:bCs/>
                <w:sz w:val="22"/>
                <w:szCs w:val="22"/>
              </w:rPr>
            </w:pPr>
            <w:r w:rsidRPr="00AE261D">
              <w:rPr>
                <w:b/>
                <w:bCs/>
                <w:sz w:val="22"/>
                <w:szCs w:val="22"/>
              </w:rPr>
              <w:t>Tổng cộng</w:t>
            </w:r>
          </w:p>
        </w:tc>
        <w:tc>
          <w:tcPr>
            <w:tcW w:w="947" w:type="dxa"/>
            <w:shd w:val="clear" w:color="auto" w:fill="auto"/>
            <w:vAlign w:val="center"/>
            <w:hideMark/>
          </w:tcPr>
          <w:p w14:paraId="4AD65A68" w14:textId="77777777" w:rsidR="000C35B1" w:rsidRPr="00AE261D" w:rsidRDefault="000C35B1" w:rsidP="00002C6B">
            <w:pPr>
              <w:jc w:val="center"/>
              <w:rPr>
                <w:b/>
                <w:bCs/>
                <w:sz w:val="22"/>
                <w:szCs w:val="22"/>
              </w:rPr>
            </w:pPr>
          </w:p>
        </w:tc>
        <w:tc>
          <w:tcPr>
            <w:tcW w:w="829" w:type="dxa"/>
            <w:shd w:val="clear" w:color="auto" w:fill="auto"/>
            <w:vAlign w:val="center"/>
            <w:hideMark/>
          </w:tcPr>
          <w:p w14:paraId="1C5722D2" w14:textId="77777777" w:rsidR="000C35B1" w:rsidRPr="00AE261D" w:rsidRDefault="000C35B1" w:rsidP="00002C6B">
            <w:pPr>
              <w:jc w:val="center"/>
              <w:rPr>
                <w:b/>
                <w:bCs/>
                <w:sz w:val="22"/>
                <w:szCs w:val="22"/>
              </w:rPr>
            </w:pPr>
          </w:p>
        </w:tc>
        <w:tc>
          <w:tcPr>
            <w:tcW w:w="840" w:type="dxa"/>
            <w:shd w:val="clear" w:color="auto" w:fill="auto"/>
            <w:vAlign w:val="center"/>
            <w:hideMark/>
          </w:tcPr>
          <w:p w14:paraId="55DFA05D" w14:textId="77777777" w:rsidR="000C35B1" w:rsidRPr="00AE261D" w:rsidRDefault="000C35B1" w:rsidP="00002C6B">
            <w:pPr>
              <w:jc w:val="center"/>
              <w:rPr>
                <w:b/>
                <w:bCs/>
                <w:sz w:val="22"/>
                <w:szCs w:val="22"/>
              </w:rPr>
            </w:pPr>
          </w:p>
        </w:tc>
        <w:tc>
          <w:tcPr>
            <w:tcW w:w="1030" w:type="dxa"/>
            <w:shd w:val="clear" w:color="auto" w:fill="auto"/>
            <w:vAlign w:val="center"/>
            <w:hideMark/>
          </w:tcPr>
          <w:p w14:paraId="7F17F3F6" w14:textId="77777777" w:rsidR="000C35B1" w:rsidRPr="00AE261D" w:rsidRDefault="000C35B1" w:rsidP="00002C6B">
            <w:pPr>
              <w:jc w:val="center"/>
              <w:rPr>
                <w:b/>
                <w:bCs/>
                <w:sz w:val="22"/>
                <w:szCs w:val="22"/>
              </w:rPr>
            </w:pPr>
            <w:r w:rsidRPr="00AE261D">
              <w:rPr>
                <w:b/>
                <w:bCs/>
                <w:sz w:val="22"/>
                <w:szCs w:val="22"/>
              </w:rPr>
              <w:t>1.512,83</w:t>
            </w:r>
          </w:p>
        </w:tc>
        <w:tc>
          <w:tcPr>
            <w:tcW w:w="900" w:type="dxa"/>
            <w:shd w:val="clear" w:color="auto" w:fill="auto"/>
            <w:vAlign w:val="center"/>
            <w:hideMark/>
          </w:tcPr>
          <w:p w14:paraId="54F71EF3" w14:textId="77777777" w:rsidR="000C35B1" w:rsidRPr="00AE261D" w:rsidRDefault="000C35B1" w:rsidP="00002C6B">
            <w:pPr>
              <w:jc w:val="center"/>
              <w:rPr>
                <w:b/>
                <w:bCs/>
                <w:sz w:val="22"/>
                <w:szCs w:val="22"/>
              </w:rPr>
            </w:pPr>
          </w:p>
        </w:tc>
        <w:tc>
          <w:tcPr>
            <w:tcW w:w="1878" w:type="dxa"/>
            <w:shd w:val="clear" w:color="auto" w:fill="auto"/>
            <w:vAlign w:val="center"/>
            <w:hideMark/>
          </w:tcPr>
          <w:p w14:paraId="276B306A" w14:textId="77777777" w:rsidR="000C35B1" w:rsidRPr="00AE261D" w:rsidRDefault="000C35B1" w:rsidP="00002C6B">
            <w:pPr>
              <w:jc w:val="center"/>
              <w:rPr>
                <w:b/>
                <w:bCs/>
                <w:sz w:val="22"/>
                <w:szCs w:val="22"/>
              </w:rPr>
            </w:pPr>
            <w:r w:rsidRPr="00AE261D">
              <w:rPr>
                <w:b/>
                <w:bCs/>
                <w:sz w:val="22"/>
                <w:szCs w:val="22"/>
              </w:rPr>
              <w:t>30.069,22</w:t>
            </w:r>
          </w:p>
        </w:tc>
        <w:tc>
          <w:tcPr>
            <w:tcW w:w="1086" w:type="dxa"/>
            <w:shd w:val="clear" w:color="auto" w:fill="auto"/>
            <w:vAlign w:val="center"/>
            <w:hideMark/>
          </w:tcPr>
          <w:p w14:paraId="562D07B5" w14:textId="77777777" w:rsidR="000C35B1" w:rsidRPr="00AE261D" w:rsidRDefault="000C35B1" w:rsidP="00002C6B">
            <w:pPr>
              <w:jc w:val="center"/>
              <w:rPr>
                <w:b/>
                <w:bCs/>
                <w:sz w:val="22"/>
                <w:szCs w:val="22"/>
              </w:rPr>
            </w:pPr>
          </w:p>
        </w:tc>
        <w:tc>
          <w:tcPr>
            <w:tcW w:w="1316" w:type="dxa"/>
            <w:shd w:val="clear" w:color="auto" w:fill="auto"/>
            <w:vAlign w:val="center"/>
            <w:hideMark/>
          </w:tcPr>
          <w:p w14:paraId="188D833F" w14:textId="77777777" w:rsidR="000C35B1" w:rsidRPr="00AE261D" w:rsidRDefault="000C35B1" w:rsidP="00002C6B">
            <w:pPr>
              <w:jc w:val="center"/>
              <w:rPr>
                <w:b/>
                <w:bCs/>
                <w:sz w:val="22"/>
                <w:szCs w:val="22"/>
              </w:rPr>
            </w:pPr>
          </w:p>
        </w:tc>
        <w:tc>
          <w:tcPr>
            <w:tcW w:w="2190" w:type="dxa"/>
            <w:shd w:val="clear" w:color="auto" w:fill="auto"/>
            <w:vAlign w:val="center"/>
            <w:hideMark/>
          </w:tcPr>
          <w:p w14:paraId="07F0CF39" w14:textId="77777777" w:rsidR="000C35B1" w:rsidRPr="00AE261D" w:rsidRDefault="000C35B1" w:rsidP="00002C6B">
            <w:pPr>
              <w:jc w:val="center"/>
              <w:rPr>
                <w:b/>
                <w:bCs/>
                <w:sz w:val="22"/>
                <w:szCs w:val="22"/>
              </w:rPr>
            </w:pPr>
            <w:r w:rsidRPr="00AE261D">
              <w:rPr>
                <w:b/>
                <w:bCs/>
                <w:sz w:val="22"/>
                <w:szCs w:val="22"/>
              </w:rPr>
              <w:t>100.012,76</w:t>
            </w:r>
          </w:p>
        </w:tc>
        <w:tc>
          <w:tcPr>
            <w:tcW w:w="684" w:type="dxa"/>
            <w:shd w:val="clear" w:color="auto" w:fill="auto"/>
            <w:vAlign w:val="center"/>
            <w:hideMark/>
          </w:tcPr>
          <w:p w14:paraId="3C4A6E30" w14:textId="77777777" w:rsidR="000C35B1" w:rsidRPr="00AE261D" w:rsidRDefault="000C35B1" w:rsidP="00002C6B">
            <w:pPr>
              <w:jc w:val="center"/>
              <w:rPr>
                <w:b/>
                <w:bCs/>
                <w:sz w:val="22"/>
                <w:szCs w:val="22"/>
              </w:rPr>
            </w:pPr>
          </w:p>
        </w:tc>
      </w:tr>
    </w:tbl>
    <w:p w14:paraId="18073625" w14:textId="77777777" w:rsidR="003A15C1" w:rsidRPr="00002C6B" w:rsidRDefault="003A15C1" w:rsidP="00002C6B">
      <w:pPr>
        <w:spacing w:after="160"/>
        <w:rPr>
          <w:sz w:val="28"/>
          <w:szCs w:val="28"/>
          <w:lang w:val="vi-VN" w:eastAsia="en-US"/>
        </w:rPr>
      </w:pPr>
    </w:p>
    <w:sectPr w:rsidR="003A15C1" w:rsidRPr="00002C6B" w:rsidSect="00002C6B">
      <w:headerReference w:type="default" r:id="rId8"/>
      <w:pgSz w:w="16834" w:h="11909" w:orient="landscape" w:code="9"/>
      <w:pgMar w:top="1134" w:right="1134" w:bottom="1134" w:left="85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E4838" w14:textId="77777777" w:rsidR="00F647BD" w:rsidRDefault="00F647BD" w:rsidP="005A62D3">
      <w:r>
        <w:separator/>
      </w:r>
    </w:p>
  </w:endnote>
  <w:endnote w:type="continuationSeparator" w:id="0">
    <w:p w14:paraId="5CB7C554" w14:textId="77777777" w:rsidR="00F647BD" w:rsidRDefault="00F647BD" w:rsidP="005A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VnTime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4FA12" w14:textId="77777777" w:rsidR="00F647BD" w:rsidRDefault="00F647BD" w:rsidP="005A62D3">
      <w:r>
        <w:separator/>
      </w:r>
    </w:p>
  </w:footnote>
  <w:footnote w:type="continuationSeparator" w:id="0">
    <w:p w14:paraId="75521006" w14:textId="77777777" w:rsidR="00F647BD" w:rsidRDefault="00F647BD" w:rsidP="005A6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53CA1" w14:textId="5078F1A7" w:rsidR="005A62D3" w:rsidRPr="00002C6B" w:rsidRDefault="005A62D3">
    <w:pPr>
      <w:pStyle w:val="Header"/>
      <w:jc w:val="center"/>
      <w:rPr>
        <w:sz w:val="28"/>
        <w:szCs w:val="28"/>
      </w:rPr>
    </w:pPr>
  </w:p>
  <w:p w14:paraId="37E3AD3A" w14:textId="77777777" w:rsidR="005A62D3" w:rsidRPr="00002C6B" w:rsidRDefault="005A62D3">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8EB60" w14:textId="77777777" w:rsidR="00002C6B" w:rsidRPr="00002C6B" w:rsidRDefault="00002C6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B8"/>
    <w:rsid w:val="00002C6B"/>
    <w:rsid w:val="00033365"/>
    <w:rsid w:val="00051504"/>
    <w:rsid w:val="00053A99"/>
    <w:rsid w:val="00054788"/>
    <w:rsid w:val="00073DC4"/>
    <w:rsid w:val="00076798"/>
    <w:rsid w:val="00080773"/>
    <w:rsid w:val="000A5639"/>
    <w:rsid w:val="000C35B1"/>
    <w:rsid w:val="0011602F"/>
    <w:rsid w:val="00123D5F"/>
    <w:rsid w:val="00126692"/>
    <w:rsid w:val="00165010"/>
    <w:rsid w:val="001741AC"/>
    <w:rsid w:val="001860FB"/>
    <w:rsid w:val="001A0870"/>
    <w:rsid w:val="001A48A9"/>
    <w:rsid w:val="001A6B57"/>
    <w:rsid w:val="001B1CFF"/>
    <w:rsid w:val="001C17BB"/>
    <w:rsid w:val="00201A1A"/>
    <w:rsid w:val="002122BF"/>
    <w:rsid w:val="00222AED"/>
    <w:rsid w:val="002378C8"/>
    <w:rsid w:val="00237952"/>
    <w:rsid w:val="00252FF0"/>
    <w:rsid w:val="0029605F"/>
    <w:rsid w:val="002972DC"/>
    <w:rsid w:val="002A71B1"/>
    <w:rsid w:val="002B226A"/>
    <w:rsid w:val="00330056"/>
    <w:rsid w:val="00335B90"/>
    <w:rsid w:val="003A15C1"/>
    <w:rsid w:val="003A66AD"/>
    <w:rsid w:val="003B58C7"/>
    <w:rsid w:val="00440134"/>
    <w:rsid w:val="00471516"/>
    <w:rsid w:val="004748CB"/>
    <w:rsid w:val="00486CF4"/>
    <w:rsid w:val="0049690B"/>
    <w:rsid w:val="004A1290"/>
    <w:rsid w:val="004C6A81"/>
    <w:rsid w:val="004C7964"/>
    <w:rsid w:val="004D2CC5"/>
    <w:rsid w:val="004D752C"/>
    <w:rsid w:val="004E188A"/>
    <w:rsid w:val="004F0684"/>
    <w:rsid w:val="004F0869"/>
    <w:rsid w:val="00512D0F"/>
    <w:rsid w:val="00512F92"/>
    <w:rsid w:val="00514982"/>
    <w:rsid w:val="00521F29"/>
    <w:rsid w:val="00522EF9"/>
    <w:rsid w:val="00523B93"/>
    <w:rsid w:val="00545A25"/>
    <w:rsid w:val="00570680"/>
    <w:rsid w:val="005715C3"/>
    <w:rsid w:val="00571654"/>
    <w:rsid w:val="00575293"/>
    <w:rsid w:val="005819F2"/>
    <w:rsid w:val="005A62D3"/>
    <w:rsid w:val="005C29E6"/>
    <w:rsid w:val="005D6BA1"/>
    <w:rsid w:val="005E4576"/>
    <w:rsid w:val="005E5E10"/>
    <w:rsid w:val="00600EC4"/>
    <w:rsid w:val="00607722"/>
    <w:rsid w:val="006664C4"/>
    <w:rsid w:val="00667131"/>
    <w:rsid w:val="00687B4E"/>
    <w:rsid w:val="006C6AC7"/>
    <w:rsid w:val="006C76D7"/>
    <w:rsid w:val="006F2A46"/>
    <w:rsid w:val="006F58E1"/>
    <w:rsid w:val="007016E5"/>
    <w:rsid w:val="00702251"/>
    <w:rsid w:val="007111D4"/>
    <w:rsid w:val="00725223"/>
    <w:rsid w:val="007623A0"/>
    <w:rsid w:val="00766F0A"/>
    <w:rsid w:val="007C4F79"/>
    <w:rsid w:val="007D170D"/>
    <w:rsid w:val="007D3FF7"/>
    <w:rsid w:val="00856695"/>
    <w:rsid w:val="00861163"/>
    <w:rsid w:val="00867D4A"/>
    <w:rsid w:val="008816D1"/>
    <w:rsid w:val="0089269E"/>
    <w:rsid w:val="008A46C2"/>
    <w:rsid w:val="008C7067"/>
    <w:rsid w:val="008D29C9"/>
    <w:rsid w:val="008E03F2"/>
    <w:rsid w:val="008E35DF"/>
    <w:rsid w:val="008F0D8D"/>
    <w:rsid w:val="009135F8"/>
    <w:rsid w:val="009333F6"/>
    <w:rsid w:val="0093585D"/>
    <w:rsid w:val="0094284D"/>
    <w:rsid w:val="00964E79"/>
    <w:rsid w:val="009A0D18"/>
    <w:rsid w:val="009C26DF"/>
    <w:rsid w:val="009F38FA"/>
    <w:rsid w:val="009F3E7D"/>
    <w:rsid w:val="009F7D9D"/>
    <w:rsid w:val="00A0016F"/>
    <w:rsid w:val="00A0038E"/>
    <w:rsid w:val="00A06992"/>
    <w:rsid w:val="00A06ACA"/>
    <w:rsid w:val="00A24125"/>
    <w:rsid w:val="00A251B4"/>
    <w:rsid w:val="00A25CA5"/>
    <w:rsid w:val="00A426ED"/>
    <w:rsid w:val="00A500D4"/>
    <w:rsid w:val="00A54EFB"/>
    <w:rsid w:val="00A55584"/>
    <w:rsid w:val="00A7309C"/>
    <w:rsid w:val="00AA1CCA"/>
    <w:rsid w:val="00AA21D0"/>
    <w:rsid w:val="00AA53C9"/>
    <w:rsid w:val="00AB4EB8"/>
    <w:rsid w:val="00AC012C"/>
    <w:rsid w:val="00AD4E90"/>
    <w:rsid w:val="00AE261D"/>
    <w:rsid w:val="00AF22AD"/>
    <w:rsid w:val="00B15DE7"/>
    <w:rsid w:val="00B24CF3"/>
    <w:rsid w:val="00B3786A"/>
    <w:rsid w:val="00B44EE3"/>
    <w:rsid w:val="00B8068A"/>
    <w:rsid w:val="00B85559"/>
    <w:rsid w:val="00B95B5D"/>
    <w:rsid w:val="00BA27C1"/>
    <w:rsid w:val="00BA48DB"/>
    <w:rsid w:val="00BC7F22"/>
    <w:rsid w:val="00BF374A"/>
    <w:rsid w:val="00BF4A30"/>
    <w:rsid w:val="00C01FC7"/>
    <w:rsid w:val="00C16A36"/>
    <w:rsid w:val="00C20CC4"/>
    <w:rsid w:val="00C24D7E"/>
    <w:rsid w:val="00C3229A"/>
    <w:rsid w:val="00C411CE"/>
    <w:rsid w:val="00C77FB2"/>
    <w:rsid w:val="00C83573"/>
    <w:rsid w:val="00C94FFB"/>
    <w:rsid w:val="00C973CC"/>
    <w:rsid w:val="00CA4E30"/>
    <w:rsid w:val="00CA5D60"/>
    <w:rsid w:val="00CA7EA4"/>
    <w:rsid w:val="00CC282D"/>
    <w:rsid w:val="00CD57E5"/>
    <w:rsid w:val="00CE12DA"/>
    <w:rsid w:val="00CE66DA"/>
    <w:rsid w:val="00D0006F"/>
    <w:rsid w:val="00D24958"/>
    <w:rsid w:val="00D3194B"/>
    <w:rsid w:val="00D52D6A"/>
    <w:rsid w:val="00D53CE2"/>
    <w:rsid w:val="00D638C2"/>
    <w:rsid w:val="00D6689E"/>
    <w:rsid w:val="00DB4EE7"/>
    <w:rsid w:val="00DC7933"/>
    <w:rsid w:val="00DE7A35"/>
    <w:rsid w:val="00DF2B7D"/>
    <w:rsid w:val="00DF3719"/>
    <w:rsid w:val="00DF41DA"/>
    <w:rsid w:val="00E036A8"/>
    <w:rsid w:val="00E142FE"/>
    <w:rsid w:val="00E508A2"/>
    <w:rsid w:val="00E509C8"/>
    <w:rsid w:val="00E77F8F"/>
    <w:rsid w:val="00E84A35"/>
    <w:rsid w:val="00EA0AF9"/>
    <w:rsid w:val="00EB6247"/>
    <w:rsid w:val="00EB68EC"/>
    <w:rsid w:val="00EB7390"/>
    <w:rsid w:val="00EE49F8"/>
    <w:rsid w:val="00F429AF"/>
    <w:rsid w:val="00F5595F"/>
    <w:rsid w:val="00F647BD"/>
    <w:rsid w:val="00F704C3"/>
    <w:rsid w:val="00F72990"/>
    <w:rsid w:val="00F93BE3"/>
    <w:rsid w:val="00F946C3"/>
    <w:rsid w:val="00FC373C"/>
    <w:rsid w:val="00FD102F"/>
    <w:rsid w:val="00FE1493"/>
    <w:rsid w:val="00FE3C9E"/>
    <w:rsid w:val="00FE6508"/>
    <w:rsid w:val="00FE6EC0"/>
    <w:rsid w:val="00F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B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lang w:val="x-none" w:eastAsia="x-none"/>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lang w:val="x-none" w:eastAsia="x-none"/>
    </w:rPr>
  </w:style>
  <w:style w:type="paragraph" w:styleId="DocumentMap">
    <w:name w:val="Document Map"/>
    <w:basedOn w:val="Normal"/>
    <w:link w:val="DocumentMapChar"/>
    <w:uiPriority w:val="99"/>
    <w:semiHidden/>
    <w:unhideWhenUsed/>
    <w:rsid w:val="001650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010"/>
    <w:rPr>
      <w:rFonts w:ascii="Segoe UI" w:eastAsia="Times New Roman" w:hAnsi="Segoe UI" w:cs="Segoe UI"/>
      <w:sz w:val="16"/>
      <w:szCs w:val="16"/>
      <w:lang w:eastAsia="zh-TW"/>
    </w:rPr>
  </w:style>
  <w:style w:type="table" w:styleId="TableGrid">
    <w:name w:val="Table Grid"/>
    <w:basedOn w:val="TableNormal"/>
    <w:uiPriority w:val="59"/>
    <w:rsid w:val="0022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78C8"/>
    <w:pPr>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lang w:val="x-none" w:eastAsia="x-none"/>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lang w:val="x-none" w:eastAsia="x-none"/>
    </w:rPr>
  </w:style>
  <w:style w:type="paragraph" w:styleId="DocumentMap">
    <w:name w:val="Document Map"/>
    <w:basedOn w:val="Normal"/>
    <w:link w:val="DocumentMapChar"/>
    <w:uiPriority w:val="99"/>
    <w:semiHidden/>
    <w:unhideWhenUsed/>
    <w:rsid w:val="001650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010"/>
    <w:rPr>
      <w:rFonts w:ascii="Segoe UI" w:eastAsia="Times New Roman" w:hAnsi="Segoe UI" w:cs="Segoe UI"/>
      <w:sz w:val="16"/>
      <w:szCs w:val="16"/>
      <w:lang w:eastAsia="zh-TW"/>
    </w:rPr>
  </w:style>
  <w:style w:type="table" w:styleId="TableGrid">
    <w:name w:val="Table Grid"/>
    <w:basedOn w:val="TableNormal"/>
    <w:uiPriority w:val="59"/>
    <w:rsid w:val="0022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78C8"/>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3457">
      <w:bodyDiv w:val="1"/>
      <w:marLeft w:val="0"/>
      <w:marRight w:val="0"/>
      <w:marTop w:val="0"/>
      <w:marBottom w:val="0"/>
      <w:divBdr>
        <w:top w:val="none" w:sz="0" w:space="0" w:color="auto"/>
        <w:left w:val="none" w:sz="0" w:space="0" w:color="auto"/>
        <w:bottom w:val="none" w:sz="0" w:space="0" w:color="auto"/>
        <w:right w:val="none" w:sz="0" w:space="0" w:color="auto"/>
      </w:divBdr>
    </w:div>
    <w:div w:id="301741405">
      <w:bodyDiv w:val="1"/>
      <w:marLeft w:val="0"/>
      <w:marRight w:val="0"/>
      <w:marTop w:val="0"/>
      <w:marBottom w:val="0"/>
      <w:divBdr>
        <w:top w:val="none" w:sz="0" w:space="0" w:color="auto"/>
        <w:left w:val="none" w:sz="0" w:space="0" w:color="auto"/>
        <w:bottom w:val="none" w:sz="0" w:space="0" w:color="auto"/>
        <w:right w:val="none" w:sz="0" w:space="0" w:color="auto"/>
      </w:divBdr>
    </w:div>
    <w:div w:id="511144351">
      <w:bodyDiv w:val="1"/>
      <w:marLeft w:val="0"/>
      <w:marRight w:val="0"/>
      <w:marTop w:val="0"/>
      <w:marBottom w:val="0"/>
      <w:divBdr>
        <w:top w:val="none" w:sz="0" w:space="0" w:color="auto"/>
        <w:left w:val="none" w:sz="0" w:space="0" w:color="auto"/>
        <w:bottom w:val="none" w:sz="0" w:space="0" w:color="auto"/>
        <w:right w:val="none" w:sz="0" w:space="0" w:color="auto"/>
      </w:divBdr>
    </w:div>
    <w:div w:id="742217537">
      <w:bodyDiv w:val="1"/>
      <w:marLeft w:val="0"/>
      <w:marRight w:val="0"/>
      <w:marTop w:val="0"/>
      <w:marBottom w:val="0"/>
      <w:divBdr>
        <w:top w:val="none" w:sz="0" w:space="0" w:color="auto"/>
        <w:left w:val="none" w:sz="0" w:space="0" w:color="auto"/>
        <w:bottom w:val="none" w:sz="0" w:space="0" w:color="auto"/>
        <w:right w:val="none" w:sz="0" w:space="0" w:color="auto"/>
      </w:divBdr>
    </w:div>
    <w:div w:id="743375064">
      <w:bodyDiv w:val="1"/>
      <w:marLeft w:val="0"/>
      <w:marRight w:val="0"/>
      <w:marTop w:val="0"/>
      <w:marBottom w:val="0"/>
      <w:divBdr>
        <w:top w:val="none" w:sz="0" w:space="0" w:color="auto"/>
        <w:left w:val="none" w:sz="0" w:space="0" w:color="auto"/>
        <w:bottom w:val="none" w:sz="0" w:space="0" w:color="auto"/>
        <w:right w:val="none" w:sz="0" w:space="0" w:color="auto"/>
      </w:divBdr>
    </w:div>
    <w:div w:id="970553032">
      <w:bodyDiv w:val="1"/>
      <w:marLeft w:val="0"/>
      <w:marRight w:val="0"/>
      <w:marTop w:val="0"/>
      <w:marBottom w:val="0"/>
      <w:divBdr>
        <w:top w:val="none" w:sz="0" w:space="0" w:color="auto"/>
        <w:left w:val="none" w:sz="0" w:space="0" w:color="auto"/>
        <w:bottom w:val="none" w:sz="0" w:space="0" w:color="auto"/>
        <w:right w:val="none" w:sz="0" w:space="0" w:color="auto"/>
      </w:divBdr>
    </w:div>
    <w:div w:id="1136218979">
      <w:bodyDiv w:val="1"/>
      <w:marLeft w:val="0"/>
      <w:marRight w:val="0"/>
      <w:marTop w:val="0"/>
      <w:marBottom w:val="0"/>
      <w:divBdr>
        <w:top w:val="none" w:sz="0" w:space="0" w:color="auto"/>
        <w:left w:val="none" w:sz="0" w:space="0" w:color="auto"/>
        <w:bottom w:val="none" w:sz="0" w:space="0" w:color="auto"/>
        <w:right w:val="none" w:sz="0" w:space="0" w:color="auto"/>
      </w:divBdr>
    </w:div>
    <w:div w:id="1944875709">
      <w:bodyDiv w:val="1"/>
      <w:marLeft w:val="0"/>
      <w:marRight w:val="0"/>
      <w:marTop w:val="0"/>
      <w:marBottom w:val="0"/>
      <w:divBdr>
        <w:top w:val="none" w:sz="0" w:space="0" w:color="auto"/>
        <w:left w:val="none" w:sz="0" w:space="0" w:color="auto"/>
        <w:bottom w:val="none" w:sz="0" w:space="0" w:color="auto"/>
        <w:right w:val="none" w:sz="0" w:space="0" w:color="auto"/>
      </w:divBdr>
    </w:div>
    <w:div w:id="1995834749">
      <w:bodyDiv w:val="1"/>
      <w:marLeft w:val="0"/>
      <w:marRight w:val="0"/>
      <w:marTop w:val="0"/>
      <w:marBottom w:val="0"/>
      <w:divBdr>
        <w:top w:val="none" w:sz="0" w:space="0" w:color="auto"/>
        <w:left w:val="none" w:sz="0" w:space="0" w:color="auto"/>
        <w:bottom w:val="none" w:sz="0" w:space="0" w:color="auto"/>
        <w:right w:val="none" w:sz="0" w:space="0" w:color="auto"/>
      </w:divBdr>
    </w:div>
    <w:div w:id="2038457622">
      <w:bodyDiv w:val="1"/>
      <w:marLeft w:val="0"/>
      <w:marRight w:val="0"/>
      <w:marTop w:val="0"/>
      <w:marBottom w:val="0"/>
      <w:divBdr>
        <w:top w:val="none" w:sz="0" w:space="0" w:color="auto"/>
        <w:left w:val="none" w:sz="0" w:space="0" w:color="auto"/>
        <w:bottom w:val="none" w:sz="0" w:space="0" w:color="auto"/>
        <w:right w:val="none" w:sz="0" w:space="0" w:color="auto"/>
      </w:divBdr>
    </w:div>
    <w:div w:id="21165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c:creator>
  <cp:lastModifiedBy>Maytinh2</cp:lastModifiedBy>
  <cp:revision>50</cp:revision>
  <cp:lastPrinted>2025-12-12T11:23:00Z</cp:lastPrinted>
  <dcterms:created xsi:type="dcterms:W3CDTF">2025-12-05T12:15:00Z</dcterms:created>
  <dcterms:modified xsi:type="dcterms:W3CDTF">2026-03-19T02:45:00Z</dcterms:modified>
</cp:coreProperties>
</file>