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8F" w:rsidRPr="000239F8" w:rsidRDefault="00F7788F" w:rsidP="00F7788F">
      <w:pPr>
        <w:jc w:val="center"/>
        <w:rPr>
          <w:rStyle w:val="font31"/>
          <w:rFonts w:eastAsia="SimSun"/>
          <w:color w:val="auto"/>
          <w:sz w:val="28"/>
          <w:szCs w:val="28"/>
          <w:lang w:eastAsia="zh-CN" w:bidi="ar"/>
        </w:rPr>
      </w:pPr>
      <w:r w:rsidRPr="000239F8">
        <w:rPr>
          <w:rFonts w:eastAsia="SimSun"/>
          <w:b/>
          <w:bCs/>
          <w:sz w:val="28"/>
          <w:szCs w:val="28"/>
          <w:lang w:eastAsia="zh-CN" w:bidi="ar"/>
        </w:rPr>
        <w:t>Phụ lục II</w:t>
      </w:r>
    </w:p>
    <w:p w:rsidR="00F7788F" w:rsidRPr="000239F8" w:rsidRDefault="00F7788F" w:rsidP="00F7788F">
      <w:pPr>
        <w:jc w:val="center"/>
        <w:rPr>
          <w:rStyle w:val="font21"/>
          <w:rFonts w:eastAsia="SimSun"/>
          <w:color w:val="auto"/>
          <w:sz w:val="28"/>
          <w:szCs w:val="28"/>
          <w:lang w:eastAsia="zh-CN" w:bidi="ar"/>
        </w:rPr>
      </w:pPr>
      <w:r w:rsidRPr="000239F8">
        <w:rPr>
          <w:rStyle w:val="font31"/>
          <w:rFonts w:eastAsia="SimSun"/>
          <w:color w:val="auto"/>
          <w:sz w:val="28"/>
          <w:szCs w:val="28"/>
          <w:lang w:eastAsia="zh-CN" w:bidi="ar"/>
        </w:rPr>
        <w:t>GIÁ DỊCH VỤ NGÀY GIƯỜNG BỆNH</w:t>
      </w:r>
      <w:r w:rsidRPr="000239F8">
        <w:rPr>
          <w:rStyle w:val="font31"/>
          <w:rFonts w:eastAsia="SimSun"/>
          <w:color w:val="auto"/>
          <w:sz w:val="28"/>
          <w:szCs w:val="28"/>
          <w:lang w:eastAsia="zh-CN" w:bidi="ar"/>
        </w:rPr>
        <w:br/>
      </w:r>
      <w:r w:rsidRPr="000239F8">
        <w:rPr>
          <w:rStyle w:val="font21"/>
          <w:rFonts w:eastAsia="SimSun"/>
          <w:color w:val="auto"/>
          <w:sz w:val="28"/>
          <w:szCs w:val="28"/>
          <w:lang w:eastAsia="zh-CN" w:bidi="ar"/>
        </w:rPr>
        <w:t>(Ban hành kèm theo Nghị quyết số 74/NQ-HĐND</w:t>
      </w:r>
    </w:p>
    <w:p w:rsidR="00F7788F" w:rsidRPr="000239F8" w:rsidRDefault="00F7788F" w:rsidP="00F7788F">
      <w:pPr>
        <w:jc w:val="center"/>
        <w:rPr>
          <w:rStyle w:val="font21"/>
          <w:rFonts w:eastAsia="SimSun"/>
          <w:color w:val="auto"/>
          <w:sz w:val="28"/>
          <w:szCs w:val="28"/>
          <w:lang w:eastAsia="zh-CN" w:bidi="ar"/>
        </w:rPr>
      </w:pPr>
      <w:r w:rsidRPr="000239F8">
        <w:rPr>
          <w:rStyle w:val="font21"/>
          <w:rFonts w:eastAsia="SimSun"/>
          <w:color w:val="auto"/>
          <w:sz w:val="28"/>
          <w:szCs w:val="28"/>
          <w:lang w:eastAsia="zh-CN" w:bidi="ar"/>
        </w:rPr>
        <w:t>ngày 20 tháng 12 năm 2024 của Hội đồng nhân dân tỉnh Đồng Nai)</w:t>
      </w:r>
    </w:p>
    <w:p w:rsidR="00F7788F" w:rsidRPr="000239F8" w:rsidRDefault="00F7788F" w:rsidP="00F7788F">
      <w:pPr>
        <w:jc w:val="center"/>
        <w:rPr>
          <w:sz w:val="28"/>
          <w:szCs w:val="28"/>
        </w:rPr>
      </w:pPr>
      <w:r w:rsidRPr="000239F8">
        <w:rPr>
          <w:i/>
          <w:iCs/>
          <w:noProof/>
          <w:sz w:val="28"/>
          <w:szCs w:val="28"/>
        </w:rPr>
        <mc:AlternateContent>
          <mc:Choice Requires="wps">
            <w:drawing>
              <wp:anchor distT="0" distB="0" distL="114300" distR="114300" simplePos="0" relativeHeight="251668992" behindDoc="0" locked="0" layoutInCell="1" allowOverlap="1" wp14:anchorId="334A0552" wp14:editId="39BAF348">
                <wp:simplePos x="0" y="0"/>
                <wp:positionH relativeFrom="column">
                  <wp:posOffset>2482215</wp:posOffset>
                </wp:positionH>
                <wp:positionV relativeFrom="paragraph">
                  <wp:posOffset>36195</wp:posOffset>
                </wp:positionV>
                <wp:extent cx="1201420" cy="0"/>
                <wp:effectExtent l="0" t="0" r="17780" b="19050"/>
                <wp:wrapNone/>
                <wp:docPr id="9" name="Straight Connector 9"/>
                <wp:cNvGraphicFramePr/>
                <a:graphic xmlns:a="http://schemas.openxmlformats.org/drawingml/2006/main">
                  <a:graphicData uri="http://schemas.microsoft.com/office/word/2010/wordprocessingShape">
                    <wps:wsp>
                      <wps:cNvCnPr/>
                      <wps:spPr>
                        <a:xfrm>
                          <a:off x="0" y="0"/>
                          <a:ext cx="120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45pt,2.85pt" to="290.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2JtAEAALcDAAAOAAAAZHJzL2Uyb0RvYy54bWysU8GOEzEMvSPxD1HudKYVQuy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" strokecolor="black [3200]" strokeweight=".5pt">
                <v:stroke joinstyle="miter"/>
              </v:line>
            </w:pict>
          </mc:Fallback>
        </mc:AlternateContent>
      </w:r>
    </w:p>
    <w:p w:rsidR="00F7788F" w:rsidRPr="000239F8" w:rsidRDefault="00F7788F" w:rsidP="00F7788F">
      <w:pPr>
        <w:jc w:val="center"/>
        <w:rPr>
          <w:sz w:val="28"/>
          <w:szCs w:val="28"/>
        </w:rPr>
      </w:pPr>
    </w:p>
    <w:tbl>
      <w:tblPr>
        <w:tblW w:w="9645" w:type="dxa"/>
        <w:tblInd w:w="108" w:type="dxa"/>
        <w:tblLayout w:type="fixed"/>
        <w:tblLook w:val="04A0" w:firstRow="1" w:lastRow="0" w:firstColumn="1" w:lastColumn="0" w:noHBand="0" w:noVBand="1"/>
      </w:tblPr>
      <w:tblGrid>
        <w:gridCol w:w="754"/>
        <w:gridCol w:w="7757"/>
        <w:gridCol w:w="1134"/>
      </w:tblGrid>
      <w:tr w:rsidR="000239F8" w:rsidRPr="000239F8" w:rsidTr="00F7788F">
        <w:trPr>
          <w:trHeight w:val="2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S</w:t>
            </w:r>
            <w:r w:rsidR="00BD02DE" w:rsidRPr="000239F8">
              <w:rPr>
                <w:rFonts w:eastAsia="SimSun"/>
                <w:b/>
                <w:bCs/>
                <w:lang w:eastAsia="zh-CN" w:bidi="ar"/>
              </w:rPr>
              <w:t>T</w:t>
            </w:r>
            <w:r w:rsidRPr="000239F8">
              <w:rPr>
                <w:rFonts w:eastAsia="SimSun"/>
                <w:b/>
                <w:bCs/>
                <w:lang w:eastAsia="zh-CN" w:bidi="ar"/>
              </w:rPr>
              <w:t>T</w:t>
            </w:r>
          </w:p>
        </w:tc>
        <w:tc>
          <w:tcPr>
            <w:tcW w:w="7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Các loại dịch vụ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Mức giá (đồng)</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I</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Hạng 1</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1</w:t>
            </w:r>
          </w:p>
        </w:tc>
        <w:tc>
          <w:tcPr>
            <w:tcW w:w="7757" w:type="dxa"/>
            <w:tcBorders>
              <w:top w:val="nil"/>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điều trị Hồi sức tích cực (ICU)/ghép tạng/ghép tủy /ghép tế bào gốc</w:t>
            </w:r>
          </w:p>
        </w:tc>
        <w:tc>
          <w:tcPr>
            <w:tcW w:w="1134" w:type="dxa"/>
            <w:tcBorders>
              <w:top w:val="nil"/>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928.100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giường bệnh Hồi sức cấp cứu</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558.600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Ngày giường bệnh Nội khoa:</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xml:space="preserve">Các khoa: Truyền nhiễm, Hô hấp, Huyết học, Ung thư, Tim mạch, Tâm thần, Thần kinh, </w:t>
            </w:r>
            <w:r w:rsidR="00E13879" w:rsidRPr="000239F8">
              <w:rPr>
                <w:rStyle w:val="font11"/>
                <w:rFonts w:eastAsia="SimSun"/>
                <w:color w:val="auto"/>
                <w:lang w:eastAsia="zh-CN" w:bidi="ar"/>
              </w:rPr>
              <w:t xml:space="preserve">Lão, </w:t>
            </w:r>
            <w:r w:rsidR="00484D23">
              <w:rPr>
                <w:rStyle w:val="font11"/>
                <w:rFonts w:eastAsia="SimSun"/>
                <w:color w:val="auto"/>
                <w:lang w:eastAsia="zh-CN" w:bidi="ar"/>
              </w:rPr>
              <w:t>Nhi, Tiêu hóa</w:t>
            </w:r>
            <w:r w:rsidRPr="000239F8">
              <w:rPr>
                <w:rStyle w:val="font11"/>
                <w:rFonts w:eastAsia="SimSun"/>
                <w:color w:val="auto"/>
                <w:lang w:eastAsia="zh-CN" w:bidi="ar"/>
              </w:rPr>
              <w:t>, Thận học; Nội tiết; Dị ứng (đối với bệnh nhân dị ứng thuốc nặng: Stevens Jonhson/ Lyell)</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305.500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2: </w:t>
            </w:r>
            <w:r w:rsidRPr="000239F8">
              <w:rPr>
                <w:rStyle w:val="font11"/>
                <w:rFonts w:eastAsia="SimSun"/>
                <w:color w:val="auto"/>
                <w:lang w:eastAsia="zh-CN" w:bidi="ar"/>
              </w:rPr>
              <w:t>Các Khoa: Cơ-Xương-Khớp, Da liễu, Dị ứng, Tai-Mũi-Họng, Mắt, Răng Hàm Mặt, Ngoại, Phụ-Sản không mổ; YHDT/ PHCN cho nhóm người bệnh tổn thương tủy sống, tai biến mạch máu não, chấn thương sọ não.</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273.800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3:</w:t>
            </w:r>
            <w:r w:rsidRPr="000239F8">
              <w:rPr>
                <w:rStyle w:val="font11"/>
                <w:rFonts w:eastAsia="SimSun"/>
                <w:color w:val="auto"/>
                <w:lang w:eastAsia="zh-CN" w:bidi="ar"/>
              </w:rPr>
              <w:t xml:space="preserve"> Các khoa:  YHDT, Phục hồi chức năng</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232.900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 xml:space="preserve">Ngày giường bệnh ngoại khoa, bỏng; </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Sau các phẫu thuật loại đặc biệt; Bỏng độ 3-4 trên 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400.400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2 :</w:t>
            </w:r>
            <w:r w:rsidRPr="000239F8">
              <w:rPr>
                <w:rStyle w:val="font11"/>
                <w:rFonts w:eastAsia="SimSun"/>
                <w:color w:val="auto"/>
                <w:lang w:eastAsia="zh-CN" w:bidi="ar"/>
              </w:rPr>
              <w:t xml:space="preserve"> Sau các phẫu thuật loại 1; Bỏng độ 3-4 từ 25 -</w:t>
            </w:r>
            <w:r w:rsidR="00484D23">
              <w:rPr>
                <w:rStyle w:val="font11"/>
                <w:rFonts w:eastAsia="SimSun"/>
                <w:color w:val="auto"/>
                <w:lang w:eastAsia="zh-CN" w:bidi="ar"/>
              </w:rPr>
              <w:t xml:space="preserve"> </w:t>
            </w:r>
            <w:r w:rsidRPr="000239F8">
              <w:rPr>
                <w:rStyle w:val="font11"/>
                <w:rFonts w:eastAsia="SimSun"/>
                <w:color w:val="auto"/>
                <w:lang w:eastAsia="zh-CN" w:bidi="ar"/>
              </w:rPr>
              <w:t>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364.400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3 </w:t>
            </w:r>
            <w:r w:rsidRPr="000239F8">
              <w:rPr>
                <w:rStyle w:val="font11"/>
                <w:rFonts w:eastAsia="SimSun"/>
                <w:color w:val="auto"/>
                <w:lang w:eastAsia="zh-CN" w:bidi="ar"/>
              </w:rPr>
              <w:t>: Sau các phẫu thuật loại 2; Bỏng độ 2 trên 30% diện tích cơ thể, Bỏng độ 3-4 dưới 25%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320.700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4 </w:t>
            </w:r>
            <w:r w:rsidRPr="000239F8">
              <w:rPr>
                <w:rStyle w:val="font11"/>
                <w:rFonts w:eastAsia="SimSun"/>
                <w:color w:val="auto"/>
                <w:lang w:eastAsia="zh-CN" w:bidi="ar"/>
              </w:rPr>
              <w:t>: Sau các phẫu thuật loại 3; Bỏng độ 1, độ 2 dưới 30%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286.700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II</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Hạng 2</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điều trị Hồi sức tích cực (ICU)/ghép tạng/ghép tủy /ghép tế bào gốc</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799.600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giường bệnh Hồi sức cấp cứu</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418.500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Ngày giường bệnh Nội khoa:</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xml:space="preserve">Các khoa: Truyền nhiễm, Hô hấp, Huyết học, Ung thư, Tim mạch, Tâm thần, Thần kinh, </w:t>
            </w:r>
            <w:r w:rsidR="00E13879" w:rsidRPr="000239F8">
              <w:rPr>
                <w:rStyle w:val="font11"/>
                <w:rFonts w:eastAsia="SimSun"/>
                <w:color w:val="auto"/>
                <w:lang w:eastAsia="zh-CN" w:bidi="ar"/>
              </w:rPr>
              <w:t xml:space="preserve">Lão, </w:t>
            </w:r>
            <w:r w:rsidR="00484D23">
              <w:rPr>
                <w:rStyle w:val="font11"/>
                <w:rFonts w:eastAsia="SimSun"/>
                <w:color w:val="auto"/>
                <w:lang w:eastAsia="zh-CN" w:bidi="ar"/>
              </w:rPr>
              <w:t>Nhi, Tiêu hóa</w:t>
            </w:r>
            <w:r w:rsidRPr="000239F8">
              <w:rPr>
                <w:rStyle w:val="font11"/>
                <w:rFonts w:eastAsia="SimSun"/>
                <w:color w:val="auto"/>
                <w:lang w:eastAsia="zh-CN" w:bidi="ar"/>
              </w:rPr>
              <w:t>, Thận học; Nội tiết; Dị ứng (đối với bệnh nhân dị ứng thuốc nặng: Stevens Jonhson/ Lyell)</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257.100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2: </w:t>
            </w:r>
            <w:r w:rsidRPr="000239F8">
              <w:rPr>
                <w:rStyle w:val="font11"/>
                <w:rFonts w:eastAsia="SimSun"/>
                <w:color w:val="auto"/>
                <w:lang w:eastAsia="zh-CN" w:bidi="ar"/>
              </w:rPr>
              <w:t>Các Khoa: Cơ-Xương-Khớp, Da liễu, Dị ứng, Tai-Mũi-Họng, Mắt, Răng Hàm Mặt, Ngoại, Phụ-Sản không mổ; YHDT/ PHCN cho nhóm người bệnh tổn thương tủy sống, tai biến mạch máu não, chấn thương sọ não.</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222.300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3:</w:t>
            </w:r>
            <w:r w:rsidRPr="000239F8">
              <w:rPr>
                <w:rStyle w:val="font11"/>
                <w:rFonts w:eastAsia="SimSun"/>
                <w:color w:val="auto"/>
                <w:lang w:eastAsia="zh-CN" w:bidi="ar"/>
              </w:rPr>
              <w:t xml:space="preserve"> Các khoa:  YHDT, Phục hồi chức năng</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177.300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 xml:space="preserve">Ngày giường bệnh ngoại khoa, bỏng; </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Sau các phẫu thuật loại đặc biệt; Bỏng độ 3-4 trên 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341.800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2 :</w:t>
            </w:r>
            <w:r w:rsidRPr="000239F8">
              <w:rPr>
                <w:rStyle w:val="font11"/>
                <w:rFonts w:eastAsia="SimSun"/>
                <w:color w:val="auto"/>
                <w:lang w:eastAsia="zh-CN" w:bidi="ar"/>
              </w:rPr>
              <w:t xml:space="preserve"> Sau các phẫu thuật loại 1; Bỏng độ 3-4 từ 25 -</w:t>
            </w:r>
            <w:r w:rsidR="00484D23">
              <w:rPr>
                <w:rStyle w:val="font11"/>
                <w:rFonts w:eastAsia="SimSun"/>
                <w:color w:val="auto"/>
                <w:lang w:eastAsia="zh-CN" w:bidi="ar"/>
              </w:rPr>
              <w:t xml:space="preserve"> </w:t>
            </w:r>
            <w:r w:rsidRPr="000239F8">
              <w:rPr>
                <w:rStyle w:val="font11"/>
                <w:rFonts w:eastAsia="SimSun"/>
                <w:color w:val="auto"/>
                <w:lang w:eastAsia="zh-CN" w:bidi="ar"/>
              </w:rPr>
              <w:t>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301.600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3 </w:t>
            </w:r>
            <w:r w:rsidRPr="000239F8">
              <w:rPr>
                <w:rStyle w:val="font11"/>
                <w:rFonts w:eastAsia="SimSun"/>
                <w:color w:val="auto"/>
                <w:lang w:eastAsia="zh-CN" w:bidi="ar"/>
              </w:rPr>
              <w:t>: Sau các phẫu thuật loại 2; Bỏng độ 2 trên 30% diện tích cơ thể, Bỏng độ 3-4 dưới 25%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269.200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4 </w:t>
            </w:r>
            <w:r w:rsidRPr="000239F8">
              <w:rPr>
                <w:rStyle w:val="font11"/>
                <w:rFonts w:eastAsia="SimSun"/>
                <w:color w:val="auto"/>
                <w:lang w:eastAsia="zh-CN" w:bidi="ar"/>
              </w:rPr>
              <w:t>: Sau các phẫu thuật loại 3; Bỏng độ 1, độ 2 dưới 30%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229.200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lastRenderedPageBreak/>
              <w:t>III</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Hạng 3</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điều trị Hồi sức tích cực (ICU)/ghép tạng/ghép tủy /ghép tế bào gốc</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giường bệnh Hồi sức cấp cứu</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364.400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Ngày giường bệnh Nội khoa:</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xml:space="preserve">Các khoa: Truyền nhiễm, Hô hấp, Huyết học, Ung thư, Tim mạch, Tâm thần, Thần kinh, </w:t>
            </w:r>
            <w:r w:rsidR="000F2063" w:rsidRPr="000239F8">
              <w:rPr>
                <w:rStyle w:val="font11"/>
                <w:rFonts w:eastAsia="SimSun"/>
                <w:color w:val="auto"/>
                <w:lang w:eastAsia="zh-CN" w:bidi="ar"/>
              </w:rPr>
              <w:t xml:space="preserve">Lão, </w:t>
            </w:r>
            <w:r w:rsidR="00484D23">
              <w:rPr>
                <w:rStyle w:val="font11"/>
                <w:rFonts w:eastAsia="SimSun"/>
                <w:color w:val="auto"/>
                <w:lang w:eastAsia="zh-CN" w:bidi="ar"/>
              </w:rPr>
              <w:t>Nhi, Tiêu hóa</w:t>
            </w:r>
            <w:r w:rsidRPr="000239F8">
              <w:rPr>
                <w:rStyle w:val="font11"/>
                <w:rFonts w:eastAsia="SimSun"/>
                <w:color w:val="auto"/>
                <w:lang w:eastAsia="zh-CN" w:bidi="ar"/>
              </w:rPr>
              <w:t>, Thận học; Nội tiết; Dị ứng (đối với bệnh nhân dị ứng thuốc nặng: Stevens Jonhson/ Lyell)</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245.000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2: </w:t>
            </w:r>
            <w:r w:rsidRPr="000239F8">
              <w:rPr>
                <w:rStyle w:val="font11"/>
                <w:rFonts w:eastAsia="SimSun"/>
                <w:color w:val="auto"/>
                <w:lang w:eastAsia="zh-CN" w:bidi="ar"/>
              </w:rPr>
              <w:t>Các Khoa: Cơ-Xương-Khớp, Da liễu, Dị ứng, Tai-Mũi-Họng, Mắt, Răng Hàm Mặt, Ngoại, Phụ-Sản không mổ; YHDT/ PHCN cho nhóm người bệnh tổn thương tủy sống, tai biến mạch máu não, chấn thương sọ não.</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211.000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3:</w:t>
            </w:r>
            <w:r w:rsidRPr="000239F8">
              <w:rPr>
                <w:rStyle w:val="font11"/>
                <w:rFonts w:eastAsia="SimSun"/>
                <w:color w:val="auto"/>
                <w:lang w:eastAsia="zh-CN" w:bidi="ar"/>
              </w:rPr>
              <w:t xml:space="preserve"> Các khoa:  YHDT, Phục hồi chức năng</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169.200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 xml:space="preserve">Ngày giường bệnh ngoại khoa, bỏng; </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Sau các phẫu thuật loại đặc biệt; Bỏng độ 3-4 trên 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2 :</w:t>
            </w:r>
            <w:r w:rsidRPr="000239F8">
              <w:rPr>
                <w:rStyle w:val="font11"/>
                <w:rFonts w:eastAsia="SimSun"/>
                <w:color w:val="auto"/>
                <w:lang w:eastAsia="zh-CN" w:bidi="ar"/>
              </w:rPr>
              <w:t xml:space="preserve"> Sau các phẫu thuật loại 1; Bỏng độ 3-4 từ 25 -</w:t>
            </w:r>
            <w:r w:rsidR="00007C7E">
              <w:rPr>
                <w:rStyle w:val="font11"/>
                <w:rFonts w:eastAsia="SimSun"/>
                <w:color w:val="auto"/>
                <w:lang w:eastAsia="zh-CN" w:bidi="ar"/>
              </w:rPr>
              <w:t xml:space="preserve"> </w:t>
            </w:r>
            <w:r w:rsidRPr="000239F8">
              <w:rPr>
                <w:rStyle w:val="font11"/>
                <w:rFonts w:eastAsia="SimSun"/>
                <w:color w:val="auto"/>
                <w:lang w:eastAsia="zh-CN" w:bidi="ar"/>
              </w:rPr>
              <w:t>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272.200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3 </w:t>
            </w:r>
            <w:r w:rsidRPr="000239F8">
              <w:rPr>
                <w:rStyle w:val="font11"/>
                <w:rFonts w:eastAsia="SimSun"/>
                <w:color w:val="auto"/>
                <w:lang w:eastAsia="zh-CN" w:bidi="ar"/>
              </w:rPr>
              <w:t>: Sau các phẫu thuật loại 2; Bỏng độ 2 trên 30% diện tích cơ thể, Bỏng độ 3-4 dưới 25%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241.300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4 </w:t>
            </w:r>
            <w:r w:rsidRPr="000239F8">
              <w:rPr>
                <w:rStyle w:val="font11"/>
                <w:rFonts w:eastAsia="SimSun"/>
                <w:color w:val="auto"/>
                <w:lang w:eastAsia="zh-CN" w:bidi="ar"/>
              </w:rPr>
              <w:t>: Sau các phẫu thuật loại 3; Bỏng độ 1, độ 2 dưới 30%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202.300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IV</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Hạng 4</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điều trị Hồi sức tích cực (ICU)/ghép tạng/ghép tủy /ghép tế bào gốc</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pPr>
            <w:r w:rsidRPr="000239F8">
              <w:rPr>
                <w:rFonts w:eastAsia="SimSun"/>
                <w:lang w:eastAsia="zh-CN" w:bidi="ar"/>
              </w:rPr>
              <w:t>Ngày giường bệnh Hồi sức cấp cứu</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327.900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Ngày giường bệnh Nội khoa:</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xml:space="preserve">Các khoa: Truyền nhiễm, Hô hấp, Huyết học, Ung thư, Tim mạch, Tâm thần, Thần kinh, </w:t>
            </w:r>
            <w:r w:rsidR="00770FA9" w:rsidRPr="000239F8">
              <w:rPr>
                <w:rStyle w:val="font11"/>
                <w:rFonts w:eastAsia="SimSun"/>
                <w:color w:val="auto"/>
                <w:lang w:eastAsia="zh-CN" w:bidi="ar"/>
              </w:rPr>
              <w:t xml:space="preserve">Lão, </w:t>
            </w:r>
            <w:r w:rsidR="00007C7E">
              <w:rPr>
                <w:rStyle w:val="font11"/>
                <w:rFonts w:eastAsia="SimSun"/>
                <w:color w:val="auto"/>
                <w:lang w:eastAsia="zh-CN" w:bidi="ar"/>
              </w:rPr>
              <w:t>Nhi, Tiêu hóa</w:t>
            </w:r>
            <w:r w:rsidRPr="000239F8">
              <w:rPr>
                <w:rStyle w:val="font11"/>
                <w:rFonts w:eastAsia="SimSun"/>
                <w:color w:val="auto"/>
                <w:lang w:eastAsia="zh-CN" w:bidi="ar"/>
              </w:rPr>
              <w:t>, Thận học; Nội tiết; Dị ứng (đối với bệnh nhân dị ứng thuốc nặng: Stevens Jonhson/ Lyell)</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219.100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3.2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2: </w:t>
            </w:r>
            <w:r w:rsidRPr="000239F8">
              <w:rPr>
                <w:rStyle w:val="font11"/>
                <w:rFonts w:eastAsia="SimSun"/>
                <w:color w:val="auto"/>
                <w:lang w:eastAsia="zh-CN" w:bidi="ar"/>
              </w:rPr>
              <w:t>Các Khoa: Cơ-Xương-Khớp, Da liễu, Dị ứng, Tai-Mũi-Họng, Mắt, Răng Hàm Mặt, Ngoại, Phụ-Sản không mổ; YHDT/ PHCN cho nhóm người bệnh tổn thương tủy sống, tai biến mạch máu não, chấn thương sọ não.</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188.000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bookmarkStart w:id="0" w:name="_GoBack" w:colFirst="0" w:colLast="2"/>
            <w:r w:rsidRPr="000239F8">
              <w:rPr>
                <w:rFonts w:eastAsia="SimSun"/>
                <w:lang w:eastAsia="zh-CN" w:bidi="ar"/>
              </w:rPr>
              <w:t>3.3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3:</w:t>
            </w:r>
            <w:r w:rsidR="005A48ED" w:rsidRPr="000239F8">
              <w:rPr>
                <w:rStyle w:val="font11"/>
                <w:rFonts w:eastAsia="SimSun"/>
                <w:color w:val="auto"/>
                <w:lang w:eastAsia="zh-CN" w:bidi="ar"/>
              </w:rPr>
              <w:t xml:space="preserve"> Các khoa: </w:t>
            </w:r>
            <w:r w:rsidRPr="000239F8">
              <w:rPr>
                <w:rStyle w:val="font11"/>
                <w:rFonts w:eastAsia="SimSun"/>
                <w:color w:val="auto"/>
                <w:lang w:eastAsia="zh-CN" w:bidi="ar"/>
              </w:rPr>
              <w:t>YHDT, Phục hồi chức năng</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156.300</w:t>
            </w:r>
          </w:p>
        </w:tc>
      </w:tr>
      <w:bookmarkEnd w:id="0"/>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 xml:space="preserve">Ngày giường bệnh ngoại khoa, bỏng; </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4.1</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1 </w:t>
            </w:r>
            <w:r w:rsidRPr="000239F8">
              <w:rPr>
                <w:rStyle w:val="font11"/>
                <w:rFonts w:eastAsia="SimSun"/>
                <w:color w:val="auto"/>
                <w:lang w:eastAsia="zh-CN" w:bidi="ar"/>
              </w:rPr>
              <w:t>: Sau các phẫu thuật loại đặc biệt; Bỏng độ 3-4 trên 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466821" w:rsidP="00F7788F">
            <w:pPr>
              <w:spacing w:before="40" w:after="40"/>
              <w:jc w:val="center"/>
              <w:rPr>
                <w:bCs/>
              </w:rPr>
            </w:pP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4.2</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Loại 2 :</w:t>
            </w:r>
            <w:r w:rsidRPr="000239F8">
              <w:rPr>
                <w:rStyle w:val="font11"/>
                <w:rFonts w:eastAsia="SimSun"/>
                <w:color w:val="auto"/>
                <w:lang w:eastAsia="zh-CN" w:bidi="ar"/>
              </w:rPr>
              <w:t xml:space="preserve"> Sau các phẫu thuật loại 1; Bỏng độ 3-4 từ 25 -</w:t>
            </w:r>
            <w:r w:rsidR="00007C7E">
              <w:rPr>
                <w:rStyle w:val="font11"/>
                <w:rFonts w:eastAsia="SimSun"/>
                <w:color w:val="auto"/>
                <w:lang w:eastAsia="zh-CN" w:bidi="ar"/>
              </w:rPr>
              <w:t xml:space="preserve"> </w:t>
            </w:r>
            <w:r w:rsidRPr="000239F8">
              <w:rPr>
                <w:rStyle w:val="font11"/>
                <w:rFonts w:eastAsia="SimSun"/>
                <w:color w:val="auto"/>
                <w:lang w:eastAsia="zh-CN" w:bidi="ar"/>
              </w:rPr>
              <w:t>70%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248.700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4.3</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3 </w:t>
            </w:r>
            <w:r w:rsidRPr="000239F8">
              <w:rPr>
                <w:rStyle w:val="font11"/>
                <w:rFonts w:eastAsia="SimSun"/>
                <w:color w:val="auto"/>
                <w:lang w:eastAsia="zh-CN" w:bidi="ar"/>
              </w:rPr>
              <w:t>: Sau các phẫu thuật loại 2; Bỏng độ 2 trên 30% diện tích cơ thể, Bỏng độ 3-4 dưới 25%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215.500</w:t>
            </w:r>
          </w:p>
        </w:tc>
      </w:tr>
      <w:tr w:rsidR="000239F8" w:rsidRPr="000239F8" w:rsidTr="00F7788F">
        <w:trPr>
          <w:trHeight w:val="20"/>
        </w:trPr>
        <w:tc>
          <w:tcPr>
            <w:tcW w:w="75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pPr>
            <w:r w:rsidRPr="000239F8">
              <w:rPr>
                <w:rFonts w:eastAsia="SimSun"/>
                <w:lang w:eastAsia="zh-CN" w:bidi="ar"/>
              </w:rPr>
              <w:t>4.4</w:t>
            </w:r>
          </w:p>
        </w:tc>
        <w:tc>
          <w:tcPr>
            <w:tcW w:w="77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Style w:val="font31"/>
                <w:rFonts w:eastAsia="SimSun"/>
                <w:color w:val="auto"/>
                <w:lang w:eastAsia="zh-CN" w:bidi="ar"/>
              </w:rPr>
              <w:t xml:space="preserve">Loại 4 </w:t>
            </w:r>
            <w:r w:rsidRPr="000239F8">
              <w:rPr>
                <w:rStyle w:val="font11"/>
                <w:rFonts w:eastAsia="SimSun"/>
                <w:color w:val="auto"/>
                <w:lang w:eastAsia="zh-CN" w:bidi="ar"/>
              </w:rPr>
              <w:t>: Sau các phẫu thuật loại 3; Bỏng độ 1, độ 2 dưới 30% diện tích cơ thể</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185.000</w:t>
            </w:r>
          </w:p>
        </w:tc>
      </w:tr>
      <w:tr w:rsidR="000239F8" w:rsidRPr="000239F8" w:rsidTr="00F7788F">
        <w:trPr>
          <w:trHeight w:val="20"/>
        </w:trPr>
        <w:tc>
          <w:tcPr>
            <w:tcW w:w="754" w:type="dxa"/>
            <w:tcBorders>
              <w:top w:val="nil"/>
              <w:left w:val="single" w:sz="2" w:space="0" w:color="000000"/>
              <w:bottom w:val="single" w:sz="4" w:space="0" w:color="auto"/>
              <w:right w:val="single" w:sz="2" w:space="0" w:color="000000"/>
            </w:tcBorders>
            <w:shd w:val="clear" w:color="auto" w:fill="auto"/>
            <w:noWrap/>
            <w:vAlign w:val="center"/>
          </w:tcPr>
          <w:p w:rsidR="00466821" w:rsidRPr="000239F8" w:rsidRDefault="00A35C85" w:rsidP="00F7788F">
            <w:pPr>
              <w:spacing w:before="40" w:after="40"/>
              <w:jc w:val="center"/>
              <w:textAlignment w:val="center"/>
              <w:rPr>
                <w:b/>
                <w:bCs/>
              </w:rPr>
            </w:pPr>
            <w:r w:rsidRPr="000239F8">
              <w:rPr>
                <w:rFonts w:eastAsia="SimSun"/>
                <w:b/>
                <w:bCs/>
                <w:lang w:eastAsia="zh-CN" w:bidi="ar"/>
              </w:rPr>
              <w:t>V</w:t>
            </w:r>
          </w:p>
        </w:tc>
        <w:tc>
          <w:tcPr>
            <w:tcW w:w="7757" w:type="dxa"/>
            <w:tcBorders>
              <w:top w:val="single" w:sz="2" w:space="0" w:color="000000"/>
              <w:left w:val="single" w:sz="2" w:space="0" w:color="000000"/>
              <w:bottom w:val="single" w:sz="4" w:space="0" w:color="auto"/>
              <w:right w:val="single" w:sz="2" w:space="0" w:color="000000"/>
            </w:tcBorders>
            <w:shd w:val="clear" w:color="auto" w:fill="auto"/>
            <w:vAlign w:val="center"/>
          </w:tcPr>
          <w:p w:rsidR="00466821" w:rsidRPr="000239F8" w:rsidRDefault="00A35C85" w:rsidP="00F7788F">
            <w:pPr>
              <w:spacing w:before="40" w:after="40"/>
              <w:jc w:val="both"/>
              <w:textAlignment w:val="center"/>
              <w:rPr>
                <w:b/>
                <w:bCs/>
              </w:rPr>
            </w:pPr>
            <w:r w:rsidRPr="000239F8">
              <w:rPr>
                <w:rFonts w:eastAsia="SimSun"/>
                <w:b/>
                <w:bCs/>
                <w:lang w:eastAsia="zh-CN" w:bidi="ar"/>
              </w:rPr>
              <w:t>Ngày giường trạm y tế xã</w:t>
            </w:r>
          </w:p>
        </w:tc>
        <w:tc>
          <w:tcPr>
            <w:tcW w:w="1134" w:type="dxa"/>
            <w:tcBorders>
              <w:top w:val="single" w:sz="2" w:space="0" w:color="000000"/>
              <w:left w:val="single" w:sz="2" w:space="0" w:color="000000"/>
              <w:bottom w:val="single" w:sz="4" w:space="0" w:color="auto"/>
              <w:right w:val="single" w:sz="2" w:space="0" w:color="000000"/>
            </w:tcBorders>
            <w:shd w:val="clear" w:color="auto" w:fill="auto"/>
            <w:noWrap/>
            <w:vAlign w:val="center"/>
          </w:tcPr>
          <w:p w:rsidR="00466821" w:rsidRPr="000239F8" w:rsidRDefault="00A35C85" w:rsidP="00F7788F">
            <w:pPr>
              <w:spacing w:before="40" w:after="40"/>
              <w:jc w:val="center"/>
              <w:textAlignment w:val="center"/>
              <w:rPr>
                <w:bCs/>
              </w:rPr>
            </w:pPr>
            <w:r w:rsidRPr="000239F8">
              <w:rPr>
                <w:rFonts w:eastAsia="SimSun"/>
                <w:bCs/>
                <w:lang w:eastAsia="zh-CN" w:bidi="ar"/>
              </w:rPr>
              <w:t>64.100</w:t>
            </w:r>
          </w:p>
        </w:tc>
      </w:tr>
      <w:tr w:rsidR="000239F8" w:rsidRPr="000239F8" w:rsidTr="00F7788F">
        <w:trPr>
          <w:trHeight w:val="20"/>
        </w:trPr>
        <w:tc>
          <w:tcPr>
            <w:tcW w:w="754" w:type="dxa"/>
            <w:tcBorders>
              <w:top w:val="single" w:sz="4" w:space="0" w:color="auto"/>
              <w:left w:val="single" w:sz="2" w:space="0" w:color="000000"/>
              <w:bottom w:val="single" w:sz="4" w:space="0" w:color="auto"/>
              <w:right w:val="single" w:sz="2" w:space="0" w:color="000000"/>
            </w:tcBorders>
            <w:shd w:val="clear" w:color="auto" w:fill="auto"/>
            <w:noWrap/>
            <w:vAlign w:val="center"/>
          </w:tcPr>
          <w:p w:rsidR="00B834FD" w:rsidRPr="000239F8" w:rsidRDefault="00B834FD" w:rsidP="00F7788F">
            <w:pPr>
              <w:spacing w:before="40" w:after="40"/>
              <w:jc w:val="center"/>
              <w:textAlignment w:val="center"/>
              <w:rPr>
                <w:b/>
                <w:bCs/>
              </w:rPr>
            </w:pPr>
            <w:r w:rsidRPr="000239F8">
              <w:rPr>
                <w:rFonts w:eastAsia="SimSun"/>
                <w:b/>
                <w:bCs/>
                <w:lang w:eastAsia="zh-CN" w:bidi="ar"/>
              </w:rPr>
              <w:t>VI</w:t>
            </w:r>
          </w:p>
        </w:tc>
        <w:tc>
          <w:tcPr>
            <w:tcW w:w="8891" w:type="dxa"/>
            <w:gridSpan w:val="2"/>
            <w:tcBorders>
              <w:top w:val="single" w:sz="4" w:space="0" w:color="auto"/>
              <w:left w:val="single" w:sz="2" w:space="0" w:color="000000"/>
              <w:bottom w:val="single" w:sz="4" w:space="0" w:color="auto"/>
              <w:right w:val="single" w:sz="2" w:space="0" w:color="000000"/>
            </w:tcBorders>
            <w:shd w:val="clear" w:color="auto" w:fill="auto"/>
            <w:noWrap/>
            <w:vAlign w:val="center"/>
          </w:tcPr>
          <w:p w:rsidR="00B834FD" w:rsidRPr="000239F8" w:rsidRDefault="00B834FD" w:rsidP="00F7788F">
            <w:pPr>
              <w:spacing w:before="40" w:after="40"/>
              <w:textAlignment w:val="center"/>
              <w:rPr>
                <w:bCs/>
              </w:rPr>
            </w:pPr>
            <w:r w:rsidRPr="000239F8">
              <w:rPr>
                <w:rFonts w:eastAsia="SimSun"/>
                <w:b/>
                <w:bCs/>
                <w:lang w:eastAsia="zh-CN" w:bidi="ar"/>
              </w:rPr>
              <w:t xml:space="preserve">Ngày giường ban ngày: </w:t>
            </w:r>
            <w:r w:rsidRPr="000239F8">
              <w:rPr>
                <w:rFonts w:eastAsia="SimSun"/>
                <w:bCs/>
                <w:lang w:eastAsia="zh-CN" w:bidi="ar"/>
              </w:rPr>
              <w:t>Được tính bằng 0,3 lần giá ngày giường của các khoa và loại phòng tương ứng</w:t>
            </w:r>
            <w:r w:rsidR="005A48ED" w:rsidRPr="000239F8">
              <w:rPr>
                <w:rFonts w:eastAsia="SimSun"/>
                <w:bCs/>
                <w:lang w:eastAsia="zh-CN" w:bidi="ar"/>
              </w:rPr>
              <w:t>.</w:t>
            </w:r>
          </w:p>
        </w:tc>
      </w:tr>
    </w:tbl>
    <w:p w:rsidR="00466821" w:rsidRPr="000239F8" w:rsidRDefault="002E5000" w:rsidP="00F7788F">
      <w:pPr>
        <w:spacing w:before="120"/>
        <w:rPr>
          <w:lang w:val="vi-VN"/>
        </w:rPr>
      </w:pPr>
      <w:r w:rsidRPr="000239F8">
        <w:rPr>
          <w:b/>
          <w:i/>
          <w:sz w:val="26"/>
          <w:szCs w:val="26"/>
          <w:lang w:val="it-IT"/>
        </w:rPr>
        <w:t>Ghi chú</w:t>
      </w:r>
      <w:r w:rsidRPr="000239F8">
        <w:rPr>
          <w:i/>
          <w:sz w:val="26"/>
          <w:szCs w:val="26"/>
          <w:lang w:val="it-IT"/>
        </w:rPr>
        <w:t>:</w:t>
      </w:r>
      <w:r w:rsidRPr="000239F8">
        <w:rPr>
          <w:sz w:val="26"/>
          <w:szCs w:val="26"/>
          <w:lang w:val="it-IT"/>
        </w:rPr>
        <w:t xml:space="preserve"> </w:t>
      </w:r>
      <w:r w:rsidRPr="000239F8">
        <w:rPr>
          <w:i/>
          <w:sz w:val="26"/>
          <w:szCs w:val="26"/>
          <w:lang w:val="it-IT"/>
        </w:rPr>
        <w:t>Giá ngày giường điều trị nội trú chưa bao gồm chi phí máy thở và  khí y tế.</w:t>
      </w:r>
      <w:r w:rsidR="00A960D7" w:rsidRPr="000239F8">
        <w:rPr>
          <w:lang w:val="vi-VN"/>
        </w:rPr>
        <w:t xml:space="preserve"> </w:t>
      </w:r>
    </w:p>
    <w:p w:rsidR="00466821" w:rsidRPr="000239F8" w:rsidRDefault="00466821">
      <w:pPr>
        <w:tabs>
          <w:tab w:val="left" w:pos="8640"/>
        </w:tabs>
        <w:spacing w:before="120" w:after="120"/>
        <w:ind w:right="-473"/>
        <w:jc w:val="both"/>
        <w:rPr>
          <w:sz w:val="2"/>
          <w:szCs w:val="27"/>
          <w:lang w:val="vi-VN"/>
        </w:rPr>
      </w:pPr>
    </w:p>
    <w:sectPr w:rsidR="00466821" w:rsidRPr="000239F8" w:rsidSect="00F7788F">
      <w:headerReference w:type="even" r:id="rId10"/>
      <w:headerReference w:type="default" r:id="rId11"/>
      <w:footerReference w:type="even" r:id="rId12"/>
      <w:footerReference w:type="defaul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BCF" w:rsidRDefault="009A4BCF">
      <w:r>
        <w:separator/>
      </w:r>
    </w:p>
  </w:endnote>
  <w:endnote w:type="continuationSeparator" w:id="0">
    <w:p w:rsidR="009A4BCF" w:rsidRDefault="009A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Default="00C06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C06F29" w:rsidRDefault="00C06F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Default="00C06F29">
    <w:pPr>
      <w:pStyle w:val="Footer"/>
      <w:framePr w:wrap="around" w:vAnchor="text" w:hAnchor="margin" w:xAlign="right" w:y="1"/>
      <w:jc w:val="right"/>
      <w:rPr>
        <w:rStyle w:val="PageNumber"/>
      </w:rPr>
    </w:pPr>
  </w:p>
  <w:p w:rsidR="00C06F29" w:rsidRDefault="00C06F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BCF" w:rsidRDefault="009A4BCF">
      <w:r>
        <w:separator/>
      </w:r>
    </w:p>
  </w:footnote>
  <w:footnote w:type="continuationSeparator" w:id="0">
    <w:p w:rsidR="009A4BCF" w:rsidRDefault="009A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Default="00C06F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C06F29" w:rsidRDefault="00C06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Pr="00F7788F" w:rsidRDefault="00C06F29" w:rsidP="00F7788F">
    <w:pPr>
      <w:pStyle w:val="Header"/>
      <w:rPr>
        <w:sz w:val="28"/>
        <w:szCs w:val="28"/>
      </w:rPr>
    </w:pPr>
  </w:p>
  <w:p w:rsidR="00F7788F" w:rsidRPr="00F7788F" w:rsidRDefault="00F7788F" w:rsidP="00F7788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C7E"/>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9F8"/>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208B7"/>
    <w:rsid w:val="00320AD9"/>
    <w:rsid w:val="0032170E"/>
    <w:rsid w:val="00324B1B"/>
    <w:rsid w:val="00324F45"/>
    <w:rsid w:val="00325059"/>
    <w:rsid w:val="00326DC0"/>
    <w:rsid w:val="00327276"/>
    <w:rsid w:val="00327B9F"/>
    <w:rsid w:val="00330D58"/>
    <w:rsid w:val="00331D63"/>
    <w:rsid w:val="0033315A"/>
    <w:rsid w:val="00334C02"/>
    <w:rsid w:val="00336385"/>
    <w:rsid w:val="00336E3B"/>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F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4D23"/>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385E"/>
    <w:rsid w:val="007C56A2"/>
    <w:rsid w:val="007C76F8"/>
    <w:rsid w:val="007C7E54"/>
    <w:rsid w:val="007D23A0"/>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4BCF"/>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5EA"/>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88F"/>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93CE92B-182C-4209-9FE1-CB1F5026A91B}"/>
</file>

<file path=customXml/itemProps3.xml><?xml version="1.0" encoding="utf-8"?>
<ds:datastoreItem xmlns:ds="http://schemas.openxmlformats.org/officeDocument/2006/customXml" ds:itemID="{045DC2E1-25EC-4A0D-AE2F-FA157B60FB58}"/>
</file>

<file path=customXml/itemProps4.xml><?xml version="1.0" encoding="utf-8"?>
<ds:datastoreItem xmlns:ds="http://schemas.openxmlformats.org/officeDocument/2006/customXml" ds:itemID="{E5AD6500-0D87-4B89-9404-4883793D15B1}"/>
</file>

<file path=customXml/itemProps5.xml><?xml version="1.0" encoding="utf-8"?>
<ds:datastoreItem xmlns:ds="http://schemas.openxmlformats.org/officeDocument/2006/customXml" ds:itemID="{058C32E9-1D83-42E1-92C7-935A9687E1BF}"/>
</file>

<file path=docProps/app.xml><?xml version="1.0" encoding="utf-8"?>
<Properties xmlns="http://schemas.openxmlformats.org/officeDocument/2006/extended-properties" xmlns:vt="http://schemas.openxmlformats.org/officeDocument/2006/docPropsVTypes">
  <Template>Normal</Template>
  <TotalTime>26</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7</cp:revision>
  <cp:lastPrinted>2025-02-19T01:33:00Z</cp:lastPrinted>
  <dcterms:created xsi:type="dcterms:W3CDTF">2025-01-30T03:28:00Z</dcterms:created>
  <dcterms:modified xsi:type="dcterms:W3CDTF">2025-02-19T01:33:00Z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