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jc w:val="center"/>
        <w:tblInd w:w="839" w:type="dxa"/>
        <w:tblCellMar>
          <w:left w:w="0" w:type="dxa"/>
          <w:right w:w="0" w:type="dxa"/>
        </w:tblCellMar>
        <w:tblLook w:val="04A0"/>
      </w:tblPr>
      <w:tblGrid>
        <w:gridCol w:w="3563"/>
        <w:gridCol w:w="6237"/>
      </w:tblGrid>
      <w:tr w:rsidR="00391D29" w:rsidRPr="008B76BB" w:rsidTr="00391D29">
        <w:trPr>
          <w:jc w:val="center"/>
        </w:trPr>
        <w:tc>
          <w:tcPr>
            <w:tcW w:w="3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29" w:rsidRPr="008B76BB" w:rsidRDefault="00391D29" w:rsidP="00563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8"/>
                <w:szCs w:val="28"/>
              </w:rPr>
              <w:t xml:space="preserve">ỦY BAN NHÂN DÂN </w:t>
            </w:r>
          </w:p>
          <w:p w:rsidR="00391D29" w:rsidRPr="008B76BB" w:rsidRDefault="00F07314" w:rsidP="005635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</w:rPr>
              <w:pict>
                <v:line id="Straight Connector 32" o:spid="_x0000_s1027" style="position:absolute;left:0;text-align:left;z-index:251661312;visibility:visible;mso-wrap-distance-top:-3e-5mm;mso-wrap-distance-bottom:-3e-5mm" from="58.45pt,16.45pt" to="112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Ph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"/>
              </w:pict>
            </w:r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8"/>
                <w:szCs w:val="28"/>
              </w:rPr>
              <w:t>TỈNH ĐỒNG NAI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29" w:rsidRPr="008B76BB" w:rsidRDefault="00F07314" w:rsidP="005635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</w:rPr>
              <w:pict>
                <v:line id="Straight Connector 31" o:spid="_x0000_s1026" style="position:absolute;left:0;text-align:left;z-index:251660288;visibility:visible;mso-wrap-distance-top:-3e-5mm;mso-wrap-distance-bottom:-3e-5mm;mso-position-horizontal-relative:text;mso-position-vertical-relative:text" from="65.65pt,31.4pt" to="237.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Qb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"/>
              </w:pict>
            </w:r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lập</w:t>
            </w:r>
            <w:proofErr w:type="spellEnd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do - </w:t>
            </w:r>
            <w:proofErr w:type="spellStart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phúc</w:t>
            </w:r>
            <w:proofErr w:type="spellEnd"/>
            <w:r w:rsidR="00391D29" w:rsidRPr="008B76B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91D29" w:rsidRPr="008B76BB" w:rsidTr="00391D29">
        <w:trPr>
          <w:jc w:val="center"/>
        </w:trPr>
        <w:tc>
          <w:tcPr>
            <w:tcW w:w="3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29" w:rsidRPr="008B76BB" w:rsidRDefault="00391D29" w:rsidP="00391D29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B76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3068E1" w:rsidRPr="008B76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14</w:t>
            </w:r>
            <w:r w:rsidRPr="008B76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/2020/QĐ-UBND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29" w:rsidRPr="008B76BB" w:rsidRDefault="00391D29" w:rsidP="003068E1">
            <w:pPr>
              <w:spacing w:line="240" w:lineRule="auto"/>
              <w:ind w:left="-14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Đồ</w:t>
            </w:r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ng</w:t>
            </w:r>
            <w:proofErr w:type="spellEnd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Nai</w:t>
            </w:r>
            <w:proofErr w:type="spellEnd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29  </w:t>
            </w:r>
            <w:proofErr w:type="spellStart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3068E1"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4</w:t>
            </w:r>
            <w:r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8B76B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2020</w:t>
            </w:r>
          </w:p>
        </w:tc>
      </w:tr>
    </w:tbl>
    <w:p w:rsidR="00391D29" w:rsidRPr="008B76BB" w:rsidRDefault="00391D29" w:rsidP="00391D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D29" w:rsidRPr="008B76BB" w:rsidRDefault="00391D29" w:rsidP="008452A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QUYẾT ĐỊNH</w:t>
      </w:r>
    </w:p>
    <w:p w:rsidR="00391D29" w:rsidRPr="008B76BB" w:rsidRDefault="00391D29" w:rsidP="008452A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Ban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Quy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chế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tổ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chức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và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hoạt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động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Quản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lý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Khu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cao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sinh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học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Đồng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Nai</w:t>
      </w:r>
      <w:proofErr w:type="spellEnd"/>
    </w:p>
    <w:p w:rsidR="00391D29" w:rsidRPr="008B76BB" w:rsidRDefault="00F07314" w:rsidP="00391D29">
      <w:pPr>
        <w:spacing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B76BB">
        <w:rPr>
          <w:rFonts w:ascii="Times New Roman" w:hAnsi="Times New Roman"/>
          <w:noProof/>
          <w:color w:val="000000" w:themeColor="text1"/>
          <w:sz w:val="28"/>
          <w:szCs w:val="28"/>
        </w:rPr>
        <w:pict>
          <v:line id="Straight Connector 12" o:spid="_x0000_s1028" style="position:absolute;left:0;text-align:left;z-index:251662336;visibility:visible;mso-width-relative:margin;mso-height-relative:margin" from="168.25pt,.1pt" to="290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" strokecolor="black [3213]"/>
        </w:pict>
      </w:r>
    </w:p>
    <w:p w:rsidR="00391D29" w:rsidRPr="008B76BB" w:rsidRDefault="00391D29" w:rsidP="00391D29">
      <w:pPr>
        <w:spacing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91D29" w:rsidRPr="008B76BB" w:rsidRDefault="00391D29" w:rsidP="00391D2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ỦY BAN NHÂN DÂN TỈNH ĐỒNG NAI</w:t>
      </w:r>
    </w:p>
    <w:p w:rsidR="00391D29" w:rsidRPr="008B76BB" w:rsidRDefault="00391D29" w:rsidP="008452A4">
      <w:pPr>
        <w:spacing w:after="120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Tổ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chức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Chính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quyền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địa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phương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19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6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2015;</w:t>
      </w:r>
    </w:p>
    <w:p w:rsidR="00391D29" w:rsidRPr="008B76BB" w:rsidRDefault="00391D29" w:rsidP="008452A4">
      <w:pPr>
        <w:spacing w:after="120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văn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bản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quy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phạm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pháp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22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6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2015;</w:t>
      </w:r>
      <w:proofErr w:type="gramEnd"/>
    </w:p>
    <w:p w:rsidR="00391D29" w:rsidRPr="008B76BB" w:rsidRDefault="00391D29" w:rsidP="008452A4">
      <w:pPr>
        <w:spacing w:after="120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cao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13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11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2008;</w:t>
      </w:r>
    </w:p>
    <w:p w:rsidR="00391D29" w:rsidRPr="008B76BB" w:rsidRDefault="00391D29" w:rsidP="008452A4">
      <w:pPr>
        <w:spacing w:after="120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Đất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đai</w:t>
      </w:r>
      <w:proofErr w:type="spellEnd"/>
      <w:proofErr w:type="gram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29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11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2013;</w:t>
      </w:r>
    </w:p>
    <w:p w:rsidR="00391D29" w:rsidRPr="008B76BB" w:rsidRDefault="00391D29" w:rsidP="008452A4">
      <w:pPr>
        <w:spacing w:after="120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Xây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dựng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18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6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2014;</w:t>
      </w:r>
    </w:p>
    <w:p w:rsidR="00391D29" w:rsidRPr="008B76BB" w:rsidRDefault="00391D29" w:rsidP="008452A4">
      <w:pPr>
        <w:spacing w:after="120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Đầu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tư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26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11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2014;</w:t>
      </w:r>
    </w:p>
    <w:p w:rsidR="00391D29" w:rsidRPr="008B76BB" w:rsidRDefault="00391D29" w:rsidP="008452A4">
      <w:pPr>
        <w:spacing w:after="120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Nghị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số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99/2003/NĐ-CP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28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8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2003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Chính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phủ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về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Quy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chế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Khu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cao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391D29" w:rsidRPr="008B76BB" w:rsidRDefault="00391D29" w:rsidP="008452A4">
      <w:pPr>
        <w:spacing w:after="120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Căn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cứ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Nghị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số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118/2015/NĐ-CP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12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11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2015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Chính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phủ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quy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chi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tiết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thi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một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số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điều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Luật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Đầu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tư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391D29" w:rsidRPr="008B76BB" w:rsidRDefault="00391D29" w:rsidP="008452A4">
      <w:pPr>
        <w:spacing w:after="120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Theo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đề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nghị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Trưởng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Ban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Quản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lý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Khu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cao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sinh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học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Đồng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Nai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tại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Tờ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trình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số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73/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TTr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-BQLKCNCCNSH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24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02 </w:t>
      </w:r>
      <w:proofErr w:type="spellStart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2020.</w:t>
      </w:r>
    </w:p>
    <w:p w:rsidR="00391D29" w:rsidRPr="008B76BB" w:rsidRDefault="00391D29" w:rsidP="008452A4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D29" w:rsidRPr="008B76BB" w:rsidRDefault="00391D29" w:rsidP="008452A4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QUYẾT ĐỊNH:</w:t>
      </w:r>
    </w:p>
    <w:p w:rsidR="00391D29" w:rsidRPr="008B76BB" w:rsidRDefault="00391D29" w:rsidP="008452A4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D29" w:rsidRPr="008B76BB" w:rsidRDefault="00391D29" w:rsidP="008452A4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Điều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1.</w:t>
      </w:r>
      <w:proofErr w:type="gram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kèm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này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chế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Quản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Khu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Nai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1D29" w:rsidRPr="008B76BB" w:rsidRDefault="00391D29" w:rsidP="008452A4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Điều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2.</w:t>
      </w:r>
      <w:proofErr w:type="gram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này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lực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kể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="00692087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15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="00692087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2020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thay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thế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14/2018/QĐ-UBND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12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tháng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năm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2018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nhân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dân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Nai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chế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hoạt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Quản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Khu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Nai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1D29" w:rsidRPr="008B76BB" w:rsidRDefault="00391D29" w:rsidP="008452A4">
      <w:pPr>
        <w:spacing w:after="36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>Điều</w:t>
      </w:r>
      <w:proofErr w:type="spellEnd"/>
      <w:r w:rsidRPr="008B76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3.</w:t>
      </w:r>
      <w:proofErr w:type="gram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Chánh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nhân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dân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Trưởng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Ban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Quản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Khu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Đồng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Nai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Giám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đốc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sở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, ban,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ngành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Chủ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tịch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nhân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dân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huyện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phố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Long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Khánh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phố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Biên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Hòa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Thủ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trưởng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 w:rsidR="00C27CF3"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đơn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vị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liên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chịu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trách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8B76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6BB">
        <w:rPr>
          <w:rFonts w:ascii="Times New Roman" w:hAnsi="Times New Roman"/>
          <w:color w:val="000000" w:themeColor="text1"/>
          <w:sz w:val="28"/>
          <w:szCs w:val="28"/>
        </w:rPr>
        <w:t>này</w:t>
      </w:r>
      <w:proofErr w:type="spellEnd"/>
      <w:proofErr w:type="gramStart"/>
      <w:r w:rsidRPr="008B76BB">
        <w:rPr>
          <w:rFonts w:ascii="Times New Roman" w:hAnsi="Times New Roman"/>
          <w:color w:val="000000" w:themeColor="text1"/>
          <w:sz w:val="28"/>
          <w:szCs w:val="28"/>
        </w:rPr>
        <w:t>./</w:t>
      </w:r>
      <w:proofErr w:type="gramEnd"/>
      <w:r w:rsidRPr="008B76B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52A4" w:rsidRPr="008B76BB" w:rsidRDefault="008452A4" w:rsidP="008452A4">
      <w:pPr>
        <w:spacing w:after="36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57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219"/>
        <w:gridCol w:w="5538"/>
      </w:tblGrid>
      <w:tr w:rsidR="00391D29" w:rsidRPr="008B76BB" w:rsidTr="005635F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D29" w:rsidRPr="008B76BB" w:rsidRDefault="00391D29" w:rsidP="005635F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1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  <w:p w:rsidR="008B1EE3" w:rsidRPr="008B76BB" w:rsidRDefault="008B1EE3" w:rsidP="008B1E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pacing w:val="1"/>
                <w:sz w:val="28"/>
                <w:szCs w:val="28"/>
              </w:rPr>
            </w:pPr>
          </w:p>
          <w:p w:rsidR="008452A4" w:rsidRPr="008B76BB" w:rsidRDefault="008452A4" w:rsidP="005635F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pacing w:val="1"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29" w:rsidRPr="008B76BB" w:rsidRDefault="00391D29" w:rsidP="00563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1"/>
                <w:sz w:val="28"/>
                <w:szCs w:val="28"/>
                <w:lang w:val="vi-VN"/>
              </w:rPr>
            </w:pPr>
            <w:r w:rsidRPr="008B76BB">
              <w:rPr>
                <w:rFonts w:ascii="Times New Roman" w:hAnsi="Times New Roman"/>
                <w:b/>
                <w:bCs/>
                <w:color w:val="000000" w:themeColor="text1"/>
                <w:spacing w:val="1"/>
                <w:sz w:val="28"/>
                <w:szCs w:val="28"/>
                <w:lang w:val="vi-VN"/>
              </w:rPr>
              <w:t>TM. ỦY BAN NHÂN DÂN</w:t>
            </w:r>
          </w:p>
          <w:p w:rsidR="00391D29" w:rsidRPr="008B76BB" w:rsidRDefault="00391D29" w:rsidP="00563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1"/>
                <w:sz w:val="28"/>
                <w:szCs w:val="28"/>
                <w:lang w:val="vi-VN"/>
              </w:rPr>
            </w:pPr>
            <w:r w:rsidRPr="008B76BB">
              <w:rPr>
                <w:rFonts w:ascii="Times New Roman" w:hAnsi="Times New Roman"/>
                <w:b/>
                <w:bCs/>
                <w:color w:val="000000" w:themeColor="text1"/>
                <w:spacing w:val="1"/>
                <w:sz w:val="28"/>
                <w:szCs w:val="28"/>
                <w:lang w:val="vi-VN"/>
              </w:rPr>
              <w:t>CHỦ TỊCH</w:t>
            </w:r>
          </w:p>
          <w:p w:rsidR="00391D29" w:rsidRPr="008B76BB" w:rsidRDefault="00391D29" w:rsidP="005635F4">
            <w:pPr>
              <w:spacing w:after="12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3"/>
                <w:sz w:val="28"/>
                <w:szCs w:val="28"/>
                <w:lang w:val="vi-VN"/>
              </w:rPr>
            </w:pPr>
          </w:p>
          <w:p w:rsidR="00391D29" w:rsidRPr="008B76BB" w:rsidRDefault="00391D29" w:rsidP="005635F4">
            <w:pPr>
              <w:spacing w:after="12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3"/>
                <w:sz w:val="28"/>
                <w:szCs w:val="28"/>
              </w:rPr>
            </w:pPr>
          </w:p>
          <w:p w:rsidR="008B1EE3" w:rsidRPr="008B76BB" w:rsidRDefault="008B1EE3" w:rsidP="005635F4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pacing w:val="-3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b/>
                <w:i/>
                <w:iCs/>
                <w:color w:val="000000" w:themeColor="text1"/>
                <w:spacing w:val="-3"/>
                <w:sz w:val="28"/>
                <w:szCs w:val="28"/>
              </w:rPr>
              <w:t>(</w:t>
            </w:r>
            <w:proofErr w:type="spellStart"/>
            <w:r w:rsidRPr="008B76BB">
              <w:rPr>
                <w:rFonts w:ascii="Times New Roman" w:hAnsi="Times New Roman"/>
                <w:b/>
                <w:i/>
                <w:iCs/>
                <w:color w:val="000000" w:themeColor="text1"/>
                <w:spacing w:val="-3"/>
                <w:sz w:val="28"/>
                <w:szCs w:val="28"/>
              </w:rPr>
              <w:t>Đã</w:t>
            </w:r>
            <w:proofErr w:type="spellEnd"/>
            <w:r w:rsidRPr="008B76BB">
              <w:rPr>
                <w:rFonts w:ascii="Times New Roman" w:hAnsi="Times New Roman"/>
                <w:b/>
                <w:i/>
                <w:i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B76BB">
              <w:rPr>
                <w:rFonts w:ascii="Times New Roman" w:hAnsi="Times New Roman"/>
                <w:b/>
                <w:i/>
                <w:iCs/>
                <w:color w:val="000000" w:themeColor="text1"/>
                <w:spacing w:val="-3"/>
                <w:sz w:val="28"/>
                <w:szCs w:val="28"/>
              </w:rPr>
              <w:t>ký</w:t>
            </w:r>
            <w:proofErr w:type="spellEnd"/>
            <w:r w:rsidRPr="008B76BB">
              <w:rPr>
                <w:rFonts w:ascii="Times New Roman" w:hAnsi="Times New Roman"/>
                <w:b/>
                <w:i/>
                <w:iCs/>
                <w:color w:val="000000" w:themeColor="text1"/>
                <w:spacing w:val="-3"/>
                <w:sz w:val="28"/>
                <w:szCs w:val="28"/>
              </w:rPr>
              <w:t>)</w:t>
            </w:r>
          </w:p>
          <w:p w:rsidR="00391D29" w:rsidRPr="008B76BB" w:rsidRDefault="00391D29" w:rsidP="005635F4">
            <w:pPr>
              <w:spacing w:after="12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3"/>
                <w:sz w:val="28"/>
                <w:szCs w:val="28"/>
                <w:lang w:val="vi-VN"/>
              </w:rPr>
            </w:pPr>
          </w:p>
          <w:p w:rsidR="00391D29" w:rsidRPr="008B76BB" w:rsidRDefault="00391D29" w:rsidP="005635F4">
            <w:pPr>
              <w:spacing w:after="12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3"/>
                <w:sz w:val="28"/>
                <w:szCs w:val="28"/>
                <w:lang w:val="vi-VN"/>
              </w:rPr>
            </w:pPr>
          </w:p>
          <w:p w:rsidR="00391D29" w:rsidRPr="008B76BB" w:rsidRDefault="00391D29" w:rsidP="005635F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76BB">
              <w:rPr>
                <w:rFonts w:ascii="Times New Roman" w:hAnsi="Times New Roman"/>
                <w:b/>
                <w:iCs/>
                <w:color w:val="000000" w:themeColor="text1"/>
                <w:spacing w:val="-3"/>
                <w:sz w:val="28"/>
                <w:szCs w:val="28"/>
              </w:rPr>
              <w:t xml:space="preserve">Cao </w:t>
            </w:r>
            <w:proofErr w:type="spellStart"/>
            <w:r w:rsidRPr="008B76BB">
              <w:rPr>
                <w:rFonts w:ascii="Times New Roman" w:hAnsi="Times New Roman"/>
                <w:b/>
                <w:iCs/>
                <w:color w:val="000000" w:themeColor="text1"/>
                <w:spacing w:val="-3"/>
                <w:sz w:val="28"/>
                <w:szCs w:val="28"/>
              </w:rPr>
              <w:t>Tiến</w:t>
            </w:r>
            <w:proofErr w:type="spellEnd"/>
            <w:r w:rsidRPr="008B76BB">
              <w:rPr>
                <w:rFonts w:ascii="Times New Roman" w:hAnsi="Times New Roman"/>
                <w:b/>
                <w:i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B76BB">
              <w:rPr>
                <w:rFonts w:ascii="Times New Roman" w:hAnsi="Times New Roman"/>
                <w:b/>
                <w:iCs/>
                <w:color w:val="000000" w:themeColor="text1"/>
                <w:spacing w:val="-3"/>
                <w:sz w:val="28"/>
                <w:szCs w:val="28"/>
              </w:rPr>
              <w:t>Dũng</w:t>
            </w:r>
            <w:proofErr w:type="spellEnd"/>
          </w:p>
        </w:tc>
      </w:tr>
    </w:tbl>
    <w:p w:rsidR="00391D29" w:rsidRPr="004F1EDA" w:rsidRDefault="00391D29" w:rsidP="00391D29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391D29" w:rsidRPr="004F1EDA" w:rsidSect="00C27CF3">
      <w:headerReference w:type="default" r:id="rId6"/>
      <w:footerReference w:type="default" r:id="rId7"/>
      <w:pgSz w:w="12240" w:h="15840"/>
      <w:pgMar w:top="1134" w:right="1183" w:bottom="1560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3D" w:rsidRDefault="0024643D" w:rsidP="00C27CF3">
      <w:pPr>
        <w:spacing w:after="0" w:line="240" w:lineRule="auto"/>
      </w:pPr>
      <w:r>
        <w:separator/>
      </w:r>
    </w:p>
  </w:endnote>
  <w:endnote w:type="continuationSeparator" w:id="0">
    <w:p w:rsidR="0024643D" w:rsidRDefault="0024643D" w:rsidP="00C2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CF3" w:rsidRDefault="00C27CF3">
    <w:pPr>
      <w:pStyle w:val="Footer"/>
      <w:jc w:val="center"/>
    </w:pPr>
  </w:p>
  <w:p w:rsidR="00C27CF3" w:rsidRDefault="00C27C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3D" w:rsidRDefault="0024643D" w:rsidP="00C27CF3">
      <w:pPr>
        <w:spacing w:after="0" w:line="240" w:lineRule="auto"/>
      </w:pPr>
      <w:r>
        <w:separator/>
      </w:r>
    </w:p>
  </w:footnote>
  <w:footnote w:type="continuationSeparator" w:id="0">
    <w:p w:rsidR="0024643D" w:rsidRDefault="0024643D" w:rsidP="00C2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55317"/>
      <w:docPartObj>
        <w:docPartGallery w:val="Page Numbers (Top of Page)"/>
        <w:docPartUnique/>
      </w:docPartObj>
    </w:sdtPr>
    <w:sdtContent>
      <w:p w:rsidR="00C27CF3" w:rsidRDefault="00F07314">
        <w:pPr>
          <w:pStyle w:val="Header"/>
          <w:jc w:val="center"/>
        </w:pPr>
        <w:r w:rsidRPr="00C27CF3">
          <w:rPr>
            <w:rFonts w:ascii="Times New Roman" w:hAnsi="Times New Roman"/>
            <w:sz w:val="28"/>
            <w:szCs w:val="28"/>
          </w:rPr>
          <w:fldChar w:fldCharType="begin"/>
        </w:r>
        <w:r w:rsidR="00C27CF3" w:rsidRPr="00C27CF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27CF3">
          <w:rPr>
            <w:rFonts w:ascii="Times New Roman" w:hAnsi="Times New Roman"/>
            <w:sz w:val="28"/>
            <w:szCs w:val="28"/>
          </w:rPr>
          <w:fldChar w:fldCharType="separate"/>
        </w:r>
        <w:r w:rsidR="008B76BB">
          <w:rPr>
            <w:rFonts w:ascii="Times New Roman" w:hAnsi="Times New Roman"/>
            <w:noProof/>
            <w:sz w:val="28"/>
            <w:szCs w:val="28"/>
          </w:rPr>
          <w:t>2</w:t>
        </w:r>
        <w:r w:rsidRPr="00C27CF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27CF3" w:rsidRDefault="00C27C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D29"/>
    <w:rsid w:val="000945E8"/>
    <w:rsid w:val="000D4433"/>
    <w:rsid w:val="00213B08"/>
    <w:rsid w:val="0024643D"/>
    <w:rsid w:val="003068E1"/>
    <w:rsid w:val="00391D29"/>
    <w:rsid w:val="00421179"/>
    <w:rsid w:val="006474ED"/>
    <w:rsid w:val="00692087"/>
    <w:rsid w:val="006E3221"/>
    <w:rsid w:val="00773D01"/>
    <w:rsid w:val="00783B90"/>
    <w:rsid w:val="008452A4"/>
    <w:rsid w:val="008B1EE3"/>
    <w:rsid w:val="008B76BB"/>
    <w:rsid w:val="008E08C4"/>
    <w:rsid w:val="00C27CF3"/>
    <w:rsid w:val="00C60212"/>
    <w:rsid w:val="00D76641"/>
    <w:rsid w:val="00E420A9"/>
    <w:rsid w:val="00F07314"/>
    <w:rsid w:val="00F4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29"/>
    <w:pPr>
      <w:spacing w:before="0"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C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C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9F320-EFA5-4F02-8BFB-C15A054A0BF0}"/>
</file>

<file path=customXml/itemProps2.xml><?xml version="1.0" encoding="utf-8"?>
<ds:datastoreItem xmlns:ds="http://schemas.openxmlformats.org/officeDocument/2006/customXml" ds:itemID="{B75DE6A2-E304-430D-86A7-15A75A54F76C}"/>
</file>

<file path=customXml/itemProps3.xml><?xml version="1.0" encoding="utf-8"?>
<ds:datastoreItem xmlns:ds="http://schemas.openxmlformats.org/officeDocument/2006/customXml" ds:itemID="{7B6A27EB-FA3D-4BDA-9F73-49300B5AE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2020-05-05T07:39:00Z</cp:lastPrinted>
  <dcterms:created xsi:type="dcterms:W3CDTF">2020-05-05T07:40:00Z</dcterms:created>
  <dcterms:modified xsi:type="dcterms:W3CDTF">2020-06-12T01:45:00Z</dcterms:modified>
</cp:coreProperties>
</file>