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8" w:type="dxa"/>
        <w:jc w:val="center"/>
        <w:tblLayout w:type="fixed"/>
        <w:tblLook w:val="0000" w:firstRow="0" w:lastRow="0" w:firstColumn="0" w:lastColumn="0" w:noHBand="0" w:noVBand="0"/>
      </w:tblPr>
      <w:tblGrid>
        <w:gridCol w:w="3160"/>
        <w:gridCol w:w="6048"/>
      </w:tblGrid>
      <w:tr w:rsidR="00240221" w:rsidRPr="00240221" w14:paraId="70752F6A" w14:textId="77777777" w:rsidTr="000E122F">
        <w:trPr>
          <w:trHeight w:val="1269"/>
          <w:jc w:val="center"/>
        </w:trPr>
        <w:tc>
          <w:tcPr>
            <w:tcW w:w="3160" w:type="dxa"/>
          </w:tcPr>
          <w:p w14:paraId="39D42710" w14:textId="77777777" w:rsidR="00E62E54" w:rsidRPr="00240221" w:rsidRDefault="00E62E54" w:rsidP="00E62E54">
            <w:pPr>
              <w:jc w:val="center"/>
              <w:rPr>
                <w:b/>
                <w:sz w:val="26"/>
                <w:szCs w:val="26"/>
              </w:rPr>
            </w:pPr>
            <w:r w:rsidRPr="00240221">
              <w:rPr>
                <w:b/>
                <w:sz w:val="26"/>
                <w:szCs w:val="26"/>
              </w:rPr>
              <w:t>ỦY BAN NHÂN DÂN</w:t>
            </w:r>
          </w:p>
          <w:p w14:paraId="1AEB7538" w14:textId="720508C5" w:rsidR="00E62E54" w:rsidRPr="00240221" w:rsidRDefault="00E62E54" w:rsidP="00E62E54">
            <w:pPr>
              <w:spacing w:line="360" w:lineRule="auto"/>
              <w:jc w:val="center"/>
              <w:rPr>
                <w:b/>
                <w:sz w:val="26"/>
                <w:szCs w:val="26"/>
              </w:rPr>
            </w:pPr>
            <w:r w:rsidRPr="00240221">
              <w:rPr>
                <w:b/>
                <w:noProof/>
                <w:sz w:val="26"/>
                <w:szCs w:val="26"/>
              </w:rPr>
              <mc:AlternateContent>
                <mc:Choice Requires="wps">
                  <w:drawing>
                    <wp:anchor distT="0" distB="0" distL="114300" distR="114300" simplePos="0" relativeHeight="251663360" behindDoc="0" locked="0" layoutInCell="1" allowOverlap="1" wp14:anchorId="6EC5C076" wp14:editId="0EF898A7">
                      <wp:simplePos x="0" y="0"/>
                      <wp:positionH relativeFrom="column">
                        <wp:posOffset>531495</wp:posOffset>
                      </wp:positionH>
                      <wp:positionV relativeFrom="paragraph">
                        <wp:posOffset>222885</wp:posOffset>
                      </wp:positionV>
                      <wp:extent cx="799465" cy="0"/>
                      <wp:effectExtent l="8255" t="8890" r="1143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BD3F23" id="_x0000_t32" coordsize="21600,21600" o:spt="32" o:oned="t" path="m,l21600,21600e" filled="f">
                      <v:path arrowok="t" fillok="f" o:connecttype="none"/>
                      <o:lock v:ext="edit" shapetype="t"/>
                    </v:shapetype>
                    <v:shape id="Straight Arrow Connector 5" o:spid="_x0000_s1026" type="#_x0000_t32" style="position:absolute;margin-left:41.85pt;margin-top:17.55pt;width:62.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"/>
                  </w:pict>
                </mc:Fallback>
              </mc:AlternateContent>
            </w:r>
            <w:r w:rsidRPr="00240221">
              <w:rPr>
                <w:b/>
                <w:sz w:val="26"/>
                <w:szCs w:val="26"/>
              </w:rPr>
              <w:t>TỈNH ĐỒNG NAI</w:t>
            </w:r>
          </w:p>
          <w:p w14:paraId="55FCA81B" w14:textId="038D28F6" w:rsidR="00E62E54" w:rsidRPr="00240221" w:rsidRDefault="00240221" w:rsidP="00E62E54">
            <w:pPr>
              <w:jc w:val="center"/>
              <w:rPr>
                <w:rFonts w:eastAsia="Batang"/>
                <w:sz w:val="26"/>
                <w:szCs w:val="26"/>
              </w:rPr>
            </w:pPr>
            <w:r w:rsidRPr="00240221">
              <w:rPr>
                <w:sz w:val="26"/>
                <w:szCs w:val="20"/>
              </w:rPr>
              <w:t>Số: 1646</w:t>
            </w:r>
            <w:r w:rsidR="00E62E54" w:rsidRPr="00240221">
              <w:rPr>
                <w:sz w:val="26"/>
                <w:szCs w:val="20"/>
              </w:rPr>
              <w:t>/QĐ-UBND</w:t>
            </w:r>
          </w:p>
        </w:tc>
        <w:tc>
          <w:tcPr>
            <w:tcW w:w="6048" w:type="dxa"/>
          </w:tcPr>
          <w:p w14:paraId="58C9E794" w14:textId="77777777" w:rsidR="00E62E54" w:rsidRPr="00240221" w:rsidRDefault="00E62E54" w:rsidP="00E62E54">
            <w:pPr>
              <w:rPr>
                <w:rFonts w:eastAsia="Batang"/>
                <w:b/>
                <w:sz w:val="26"/>
                <w:szCs w:val="26"/>
              </w:rPr>
            </w:pPr>
            <w:r w:rsidRPr="00240221">
              <w:rPr>
                <w:b/>
                <w:sz w:val="26"/>
                <w:szCs w:val="26"/>
              </w:rPr>
              <w:t xml:space="preserve">      CỘNG HÒA XÃ HỘI CHỦ NGHĨA VIỆT </w:t>
            </w:r>
            <w:smartTag w:uri="urn:schemas-microsoft-com:office:smarttags" w:element="country-region">
              <w:smartTag w:uri="urn:schemas-microsoft-com:office:smarttags" w:element="place">
                <w:r w:rsidRPr="00240221">
                  <w:rPr>
                    <w:b/>
                    <w:sz w:val="26"/>
                    <w:szCs w:val="26"/>
                  </w:rPr>
                  <w:t>NAM</w:t>
                </w:r>
              </w:smartTag>
            </w:smartTag>
          </w:p>
          <w:p w14:paraId="54C5F573" w14:textId="6227B23C" w:rsidR="00E62E54" w:rsidRPr="00240221" w:rsidRDefault="00E62E54" w:rsidP="00E62E54">
            <w:pPr>
              <w:spacing w:line="360" w:lineRule="auto"/>
              <w:jc w:val="center"/>
              <w:rPr>
                <w:b/>
                <w:sz w:val="28"/>
                <w:szCs w:val="28"/>
              </w:rPr>
            </w:pPr>
            <w:r w:rsidRPr="00240221">
              <w:rPr>
                <w:b/>
                <w:noProof/>
                <w:sz w:val="28"/>
                <w:szCs w:val="28"/>
              </w:rPr>
              <mc:AlternateContent>
                <mc:Choice Requires="wps">
                  <w:drawing>
                    <wp:anchor distT="0" distB="0" distL="114300" distR="114300" simplePos="0" relativeHeight="251664384" behindDoc="0" locked="0" layoutInCell="1" allowOverlap="1" wp14:anchorId="337565EE" wp14:editId="0B29EAF7">
                      <wp:simplePos x="0" y="0"/>
                      <wp:positionH relativeFrom="column">
                        <wp:posOffset>769620</wp:posOffset>
                      </wp:positionH>
                      <wp:positionV relativeFrom="paragraph">
                        <wp:posOffset>240665</wp:posOffset>
                      </wp:positionV>
                      <wp:extent cx="2148205" cy="0"/>
                      <wp:effectExtent l="5080" t="7620" r="889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B45049" id="Straight Arrow Connector 4" o:spid="_x0000_s1026" type="#_x0000_t32" style="position:absolute;margin-left:60.6pt;margin-top:18.95pt;width:169.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"/>
                  </w:pict>
                </mc:Fallback>
              </mc:AlternateContent>
            </w:r>
            <w:r w:rsidRPr="00240221">
              <w:rPr>
                <w:b/>
                <w:sz w:val="28"/>
                <w:szCs w:val="28"/>
              </w:rPr>
              <w:t>Độc lập - Tự do - Hạnh phúc</w:t>
            </w:r>
          </w:p>
          <w:p w14:paraId="49663111" w14:textId="2DE0123B" w:rsidR="00E62E54" w:rsidRPr="00240221" w:rsidRDefault="00E62E54" w:rsidP="00240221">
            <w:pPr>
              <w:jc w:val="center"/>
              <w:rPr>
                <w:i/>
                <w:sz w:val="28"/>
                <w:szCs w:val="28"/>
              </w:rPr>
            </w:pPr>
            <w:r w:rsidRPr="00240221">
              <w:rPr>
                <w:i/>
                <w:sz w:val="28"/>
                <w:szCs w:val="28"/>
              </w:rPr>
              <w:t xml:space="preserve">Đồng Nai, ngày </w:t>
            </w:r>
            <w:r w:rsidR="00240221" w:rsidRPr="00240221">
              <w:rPr>
                <w:i/>
                <w:sz w:val="28"/>
                <w:szCs w:val="28"/>
              </w:rPr>
              <w:t>18</w:t>
            </w:r>
            <w:r w:rsidRPr="00240221">
              <w:rPr>
                <w:i/>
                <w:sz w:val="28"/>
                <w:szCs w:val="28"/>
              </w:rPr>
              <w:t xml:space="preserve"> tháng </w:t>
            </w:r>
            <w:r w:rsidR="00240221" w:rsidRPr="00240221">
              <w:rPr>
                <w:i/>
                <w:sz w:val="28"/>
                <w:szCs w:val="28"/>
              </w:rPr>
              <w:t>5</w:t>
            </w:r>
            <w:r w:rsidRPr="00240221">
              <w:rPr>
                <w:i/>
                <w:sz w:val="28"/>
                <w:szCs w:val="28"/>
              </w:rPr>
              <w:t xml:space="preserve"> năm 2021</w:t>
            </w:r>
          </w:p>
        </w:tc>
      </w:tr>
    </w:tbl>
    <w:p w14:paraId="6A5BF80D" w14:textId="68BBD29C" w:rsidR="00931541" w:rsidRPr="00240221" w:rsidRDefault="00931541" w:rsidP="00931541">
      <w:pPr>
        <w:spacing w:before="240" w:after="120"/>
        <w:ind w:left="-142"/>
        <w:jc w:val="center"/>
        <w:rPr>
          <w:b/>
          <w:sz w:val="28"/>
          <w:szCs w:val="28"/>
        </w:rPr>
      </w:pPr>
      <w:r w:rsidRPr="00240221">
        <w:rPr>
          <w:b/>
          <w:sz w:val="28"/>
          <w:szCs w:val="28"/>
        </w:rPr>
        <w:t>QUYẾT ĐỊNH</w:t>
      </w:r>
    </w:p>
    <w:p w14:paraId="15D685F9" w14:textId="102F22D0" w:rsidR="00276FE5" w:rsidRPr="00240221" w:rsidRDefault="00931541" w:rsidP="00276FE5">
      <w:pPr>
        <w:spacing w:before="120" w:after="120"/>
        <w:jc w:val="center"/>
        <w:rPr>
          <w:b/>
          <w:sz w:val="28"/>
          <w:szCs w:val="28"/>
        </w:rPr>
      </w:pPr>
      <w:r w:rsidRPr="00240221">
        <w:rPr>
          <w:b/>
          <w:sz w:val="28"/>
          <w:szCs w:val="28"/>
        </w:rPr>
        <w:t xml:space="preserve">Về việc </w:t>
      </w:r>
      <w:r w:rsidR="00E62E54" w:rsidRPr="00240221">
        <w:rPr>
          <w:b/>
          <w:sz w:val="28"/>
          <w:szCs w:val="28"/>
        </w:rPr>
        <w:t xml:space="preserve">phê duyệt </w:t>
      </w:r>
      <w:r w:rsidR="009C11D9" w:rsidRPr="00240221">
        <w:rPr>
          <w:b/>
          <w:sz w:val="28"/>
          <w:szCs w:val="28"/>
        </w:rPr>
        <w:t>đ</w:t>
      </w:r>
      <w:r w:rsidRPr="00240221">
        <w:rPr>
          <w:b/>
          <w:sz w:val="28"/>
          <w:szCs w:val="28"/>
        </w:rPr>
        <w:t>iều chỉnh cục bộ</w:t>
      </w:r>
      <w:r w:rsidR="00276FE5" w:rsidRPr="00240221">
        <w:t xml:space="preserve"> </w:t>
      </w:r>
      <w:bookmarkStart w:id="0" w:name="_Hlk66438788"/>
      <w:r w:rsidR="00276FE5" w:rsidRPr="00240221">
        <w:rPr>
          <w:b/>
          <w:sz w:val="28"/>
          <w:szCs w:val="28"/>
        </w:rPr>
        <w:t xml:space="preserve">quy hoạch chi tiết xây dựng tỷ lệ 1/500 </w:t>
      </w:r>
      <w:r w:rsidR="002722E8" w:rsidRPr="00240221">
        <w:rPr>
          <w:b/>
          <w:sz w:val="28"/>
          <w:szCs w:val="28"/>
        </w:rPr>
        <w:t>K</w:t>
      </w:r>
      <w:r w:rsidR="00276FE5" w:rsidRPr="00240221">
        <w:rPr>
          <w:b/>
          <w:sz w:val="28"/>
          <w:szCs w:val="28"/>
        </w:rPr>
        <w:t>hu dân cư với các dịch vụ thương mại, nhà ở cao cấp và tái định cư,</w:t>
      </w:r>
      <w:r w:rsidR="002722E8" w:rsidRPr="00240221">
        <w:rPr>
          <w:b/>
          <w:sz w:val="28"/>
          <w:szCs w:val="28"/>
        </w:rPr>
        <w:t xml:space="preserve"> </w:t>
      </w:r>
      <w:r w:rsidR="00276FE5" w:rsidRPr="00240221">
        <w:rPr>
          <w:b/>
          <w:sz w:val="28"/>
          <w:szCs w:val="28"/>
        </w:rPr>
        <w:t>phường Bửu Long, thành phố Biên Hòa, tỉnh Đồng Nai</w:t>
      </w:r>
      <w:bookmarkEnd w:id="0"/>
      <w:r w:rsidR="002722E8" w:rsidRPr="00240221">
        <w:rPr>
          <w:b/>
          <w:sz w:val="28"/>
          <w:szCs w:val="28"/>
        </w:rPr>
        <w:t xml:space="preserve"> tại Quyết định số 3285/QĐ-UBND ngày 18 tháng 9 năm 2017 của UBND tỉnh Đồng Nai</w:t>
      </w:r>
    </w:p>
    <w:p w14:paraId="13D00633" w14:textId="49BD97D0" w:rsidR="00931541" w:rsidRPr="00240221" w:rsidRDefault="00EA333C" w:rsidP="00E62E54">
      <w:pPr>
        <w:spacing w:before="480" w:after="480"/>
        <w:jc w:val="center"/>
        <w:rPr>
          <w:b/>
          <w:sz w:val="28"/>
          <w:szCs w:val="28"/>
        </w:rPr>
      </w:pPr>
      <w:r w:rsidRPr="00240221">
        <w:rPr>
          <w:b/>
          <w:noProof/>
          <w:sz w:val="28"/>
          <w:szCs w:val="28"/>
        </w:rPr>
        <mc:AlternateContent>
          <mc:Choice Requires="wps">
            <w:drawing>
              <wp:anchor distT="0" distB="0" distL="114300" distR="114300" simplePos="0" relativeHeight="251661312" behindDoc="0" locked="0" layoutInCell="1" allowOverlap="1" wp14:anchorId="4C2A504F" wp14:editId="2546941E">
                <wp:simplePos x="0" y="0"/>
                <wp:positionH relativeFrom="column">
                  <wp:posOffset>1968500</wp:posOffset>
                </wp:positionH>
                <wp:positionV relativeFrom="paragraph">
                  <wp:posOffset>-2540</wp:posOffset>
                </wp:positionV>
                <wp:extent cx="16668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F227E9" id="Straight Arrow Connector 1" o:spid="_x0000_s1026" type="#_x0000_t32" style="position:absolute;margin-left:155pt;margin-top:-.2pt;width:13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"/>
            </w:pict>
          </mc:Fallback>
        </mc:AlternateContent>
      </w:r>
      <w:r w:rsidR="00931541" w:rsidRPr="00240221">
        <w:rPr>
          <w:b/>
          <w:sz w:val="28"/>
          <w:szCs w:val="28"/>
        </w:rPr>
        <w:t>ỦY BAN NHÂN DÂN TỈNH ĐỒNG NAI</w:t>
      </w:r>
    </w:p>
    <w:p w14:paraId="39BFD5C2" w14:textId="77777777" w:rsidR="00E62E54" w:rsidRPr="00240221" w:rsidRDefault="00E62E54" w:rsidP="00E62E54">
      <w:pPr>
        <w:spacing w:after="120"/>
        <w:ind w:firstLine="567"/>
        <w:jc w:val="both"/>
        <w:rPr>
          <w:i/>
          <w:sz w:val="28"/>
          <w:szCs w:val="28"/>
        </w:rPr>
      </w:pPr>
      <w:r w:rsidRPr="00240221">
        <w:rPr>
          <w:i/>
          <w:sz w:val="28"/>
          <w:szCs w:val="28"/>
        </w:rPr>
        <w:t>Căn cứ Luật Tổ chức chính quyền địa phương ngày 19 tháng 6 năm 2015;</w:t>
      </w:r>
    </w:p>
    <w:p w14:paraId="0F784D8B" w14:textId="465310FD" w:rsidR="00E62E54" w:rsidRPr="00240221" w:rsidRDefault="00240221" w:rsidP="00E62E54">
      <w:pPr>
        <w:widowControl w:val="0"/>
        <w:spacing w:after="120"/>
        <w:ind w:firstLine="567"/>
        <w:jc w:val="both"/>
        <w:rPr>
          <w:i/>
          <w:sz w:val="28"/>
          <w:szCs w:val="28"/>
          <w:lang w:eastAsia="ja-JP"/>
        </w:rPr>
      </w:pPr>
      <w:r w:rsidRPr="00240221">
        <w:rPr>
          <w:i/>
          <w:sz w:val="28"/>
          <w:szCs w:val="28"/>
          <w:lang w:eastAsia="ja-JP"/>
        </w:rPr>
        <w:t>Căn cứ Luật s</w:t>
      </w:r>
      <w:r w:rsidR="00E62E54" w:rsidRPr="00240221">
        <w:rPr>
          <w:i/>
          <w:sz w:val="28"/>
          <w:szCs w:val="28"/>
          <w:lang w:eastAsia="ja-JP"/>
        </w:rPr>
        <w:t>ửa đổi, bổ sung một số điều của Luật Tổ chức Chính phủ và Luật Tổ chức chính quyền địa phương ngày 22 tháng 11 năm 2019;</w:t>
      </w:r>
    </w:p>
    <w:p w14:paraId="15438DB6" w14:textId="77777777" w:rsidR="00E62E54" w:rsidRPr="00240221" w:rsidRDefault="00E62E54" w:rsidP="00E62E54">
      <w:pPr>
        <w:widowControl w:val="0"/>
        <w:spacing w:after="120"/>
        <w:ind w:firstLine="567"/>
        <w:jc w:val="both"/>
        <w:rPr>
          <w:i/>
          <w:sz w:val="28"/>
          <w:szCs w:val="28"/>
          <w:lang w:eastAsia="ja-JP"/>
        </w:rPr>
      </w:pPr>
      <w:r w:rsidRPr="00240221">
        <w:rPr>
          <w:i/>
          <w:sz w:val="28"/>
          <w:szCs w:val="28"/>
          <w:lang w:eastAsia="ja-JP"/>
        </w:rPr>
        <w:t>Căn cứ Luật Quy hoạch đô thị ngày 17 tháng 6 năm 2009;</w:t>
      </w:r>
    </w:p>
    <w:p w14:paraId="5BA04C24" w14:textId="51E77E26" w:rsidR="00E62E54" w:rsidRPr="00240221" w:rsidRDefault="00240221" w:rsidP="00E62E54">
      <w:pPr>
        <w:spacing w:after="120"/>
        <w:ind w:firstLine="567"/>
        <w:jc w:val="both"/>
        <w:rPr>
          <w:i/>
          <w:sz w:val="28"/>
          <w:szCs w:val="28"/>
        </w:rPr>
      </w:pPr>
      <w:r w:rsidRPr="00240221">
        <w:rPr>
          <w:i/>
          <w:sz w:val="28"/>
          <w:szCs w:val="28"/>
        </w:rPr>
        <w:t>Căn cứ Luật s</w:t>
      </w:r>
      <w:r w:rsidR="00E62E54" w:rsidRPr="00240221">
        <w:rPr>
          <w:i/>
          <w:sz w:val="28"/>
          <w:szCs w:val="28"/>
        </w:rPr>
        <w:t>ửa đ</w:t>
      </w:r>
      <w:r w:rsidRPr="00240221">
        <w:rPr>
          <w:i/>
          <w:sz w:val="28"/>
          <w:szCs w:val="28"/>
        </w:rPr>
        <w:t>ổi, bổ sung một số điều của 37 L</w:t>
      </w:r>
      <w:r w:rsidR="00E62E54" w:rsidRPr="00240221">
        <w:rPr>
          <w:i/>
          <w:sz w:val="28"/>
          <w:szCs w:val="28"/>
        </w:rPr>
        <w:t>uật có liên quan đến quy hoạch ngày 20 tháng 11 năm 2018;</w:t>
      </w:r>
    </w:p>
    <w:p w14:paraId="2F95F6CB" w14:textId="77777777" w:rsidR="00E62E54" w:rsidRPr="00240221" w:rsidRDefault="00E62E54" w:rsidP="00E62E54">
      <w:pPr>
        <w:spacing w:after="120"/>
        <w:ind w:firstLine="567"/>
        <w:jc w:val="both"/>
        <w:rPr>
          <w:i/>
          <w:sz w:val="28"/>
          <w:szCs w:val="28"/>
        </w:rPr>
      </w:pPr>
      <w:r w:rsidRPr="00240221">
        <w:rPr>
          <w:i/>
          <w:sz w:val="28"/>
          <w:szCs w:val="28"/>
        </w:rPr>
        <w:t xml:space="preserve">Căn cứ </w:t>
      </w:r>
      <w:bookmarkStart w:id="1" w:name="_Hlk37774825"/>
      <w:r w:rsidRPr="00240221">
        <w:rPr>
          <w:i/>
          <w:sz w:val="28"/>
          <w:szCs w:val="28"/>
        </w:rPr>
        <w:t>Nghị định số 37/2010/NĐ-CP ngày 07 tháng 4 năm 2010 của Chính phủ về lập, thẩm định, phê duyệt và quản lý quy hoạch đô thị</w:t>
      </w:r>
      <w:bookmarkEnd w:id="1"/>
      <w:r w:rsidRPr="00240221">
        <w:rPr>
          <w:i/>
          <w:sz w:val="28"/>
          <w:szCs w:val="28"/>
        </w:rPr>
        <w:t>;</w:t>
      </w:r>
    </w:p>
    <w:p w14:paraId="27298AF0" w14:textId="77777777" w:rsidR="00E62E54" w:rsidRPr="00240221" w:rsidRDefault="00E62E54" w:rsidP="00E62E54">
      <w:pPr>
        <w:spacing w:after="120"/>
        <w:ind w:firstLine="567"/>
        <w:jc w:val="both"/>
        <w:rPr>
          <w:i/>
          <w:sz w:val="28"/>
          <w:szCs w:val="28"/>
        </w:rPr>
      </w:pPr>
      <w:r w:rsidRPr="00240221">
        <w:rPr>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7FC3CDB5" w14:textId="77777777" w:rsidR="00E62E54" w:rsidRPr="00240221" w:rsidRDefault="00E62E54" w:rsidP="00E62E54">
      <w:pPr>
        <w:spacing w:after="120"/>
        <w:ind w:firstLine="567"/>
        <w:jc w:val="both"/>
        <w:rPr>
          <w:i/>
          <w:sz w:val="28"/>
          <w:szCs w:val="28"/>
        </w:rPr>
      </w:pPr>
      <w:r w:rsidRPr="00240221">
        <w:rPr>
          <w:i/>
          <w:sz w:val="28"/>
          <w:szCs w:val="28"/>
        </w:rPr>
        <w:t>Căn cứ Thông tư số 12/2016/TT-BXD ngày 09 tháng 6 năm 2016 của Bộ trưởng Bộ Xây dựng quy định về hồ sơ của nhiệm vụ và đồ án quy hoạch xây dựng vùng, quy hoạch đô thị và quy hoạch xây dựng khu chức năng đặc thù;</w:t>
      </w:r>
    </w:p>
    <w:p w14:paraId="0E7BA3BB" w14:textId="23914E0D" w:rsidR="00931541" w:rsidRPr="00240221" w:rsidRDefault="00276FE5" w:rsidP="00E62E54">
      <w:pPr>
        <w:spacing w:after="120"/>
        <w:ind w:firstLine="567"/>
        <w:jc w:val="both"/>
        <w:rPr>
          <w:i/>
          <w:sz w:val="28"/>
          <w:szCs w:val="28"/>
        </w:rPr>
      </w:pPr>
      <w:r w:rsidRPr="00240221">
        <w:rPr>
          <w:i/>
          <w:sz w:val="28"/>
          <w:szCs w:val="28"/>
        </w:rPr>
        <w:t xml:space="preserve">Theo đề nghị của Giám đốc Sở Xây dựng tại Tờ trình số </w:t>
      </w:r>
      <w:r w:rsidR="009C11D9" w:rsidRPr="00240221">
        <w:rPr>
          <w:i/>
          <w:sz w:val="28"/>
          <w:szCs w:val="28"/>
        </w:rPr>
        <w:t>56</w:t>
      </w:r>
      <w:r w:rsidRPr="00240221">
        <w:rPr>
          <w:i/>
          <w:sz w:val="28"/>
          <w:szCs w:val="28"/>
        </w:rPr>
        <w:t>/TTr-SXD ngày 1</w:t>
      </w:r>
      <w:r w:rsidR="009C11D9" w:rsidRPr="00240221">
        <w:rPr>
          <w:i/>
          <w:sz w:val="28"/>
          <w:szCs w:val="28"/>
        </w:rPr>
        <w:t>5</w:t>
      </w:r>
      <w:r w:rsidRPr="00240221">
        <w:rPr>
          <w:i/>
          <w:sz w:val="28"/>
          <w:szCs w:val="28"/>
        </w:rPr>
        <w:t xml:space="preserve"> tháng 3 năm 2021.</w:t>
      </w:r>
    </w:p>
    <w:p w14:paraId="471865B5" w14:textId="77777777" w:rsidR="00931541" w:rsidRPr="00240221" w:rsidRDefault="00931541" w:rsidP="002722E8">
      <w:pPr>
        <w:spacing w:before="480" w:after="480"/>
        <w:jc w:val="center"/>
        <w:rPr>
          <w:b/>
          <w:sz w:val="28"/>
          <w:szCs w:val="28"/>
        </w:rPr>
      </w:pPr>
      <w:r w:rsidRPr="00240221">
        <w:rPr>
          <w:b/>
          <w:sz w:val="28"/>
          <w:szCs w:val="28"/>
        </w:rPr>
        <w:t>QUYẾT ĐỊNH:</w:t>
      </w:r>
    </w:p>
    <w:p w14:paraId="4E53121E" w14:textId="0EFE96A2" w:rsidR="00931541" w:rsidRPr="00240221" w:rsidRDefault="00931541" w:rsidP="002722E8">
      <w:pPr>
        <w:widowControl w:val="0"/>
        <w:spacing w:after="120"/>
        <w:ind w:firstLine="567"/>
        <w:jc w:val="both"/>
        <w:rPr>
          <w:sz w:val="28"/>
          <w:szCs w:val="28"/>
        </w:rPr>
      </w:pPr>
      <w:r w:rsidRPr="00240221">
        <w:rPr>
          <w:b/>
          <w:sz w:val="28"/>
          <w:szCs w:val="28"/>
        </w:rPr>
        <w:t>Điều 1.</w:t>
      </w:r>
      <w:r w:rsidRPr="00240221">
        <w:rPr>
          <w:sz w:val="28"/>
          <w:szCs w:val="28"/>
        </w:rPr>
        <w:t xml:space="preserve"> Duyệt </w:t>
      </w:r>
      <w:r w:rsidR="002722E8" w:rsidRPr="00240221">
        <w:rPr>
          <w:sz w:val="28"/>
          <w:szCs w:val="28"/>
        </w:rPr>
        <w:t xml:space="preserve">điều chỉnh cục bộ quy hoạch chi tiết xây dựng tỷ lệ 1/500 Khu dân cư với các dịch vụ thương mại, nhà ở cao cấp và tái định cư, phường Bửu Long, thành phố Biên Hòa, tỉnh Đồng Nai tại Quyết định số 3285/QĐ-UBND ngày 18 tháng 9 năm 2017 của UBND tỉnh Đồng Nai </w:t>
      </w:r>
      <w:r w:rsidRPr="00240221">
        <w:rPr>
          <w:sz w:val="28"/>
          <w:szCs w:val="28"/>
        </w:rPr>
        <w:t xml:space="preserve">với các nội dung </w:t>
      </w:r>
      <w:r w:rsidR="002722E8" w:rsidRPr="00240221">
        <w:rPr>
          <w:sz w:val="28"/>
          <w:szCs w:val="28"/>
        </w:rPr>
        <w:t xml:space="preserve">chính </w:t>
      </w:r>
      <w:r w:rsidRPr="00240221">
        <w:rPr>
          <w:sz w:val="28"/>
          <w:szCs w:val="28"/>
        </w:rPr>
        <w:t>như sau:</w:t>
      </w:r>
    </w:p>
    <w:p w14:paraId="2804FAD8" w14:textId="7B0E61FF" w:rsidR="00281126" w:rsidRPr="00240221" w:rsidRDefault="00276FE5" w:rsidP="002722E8">
      <w:pPr>
        <w:spacing w:after="120"/>
        <w:ind w:firstLine="567"/>
        <w:jc w:val="both"/>
        <w:rPr>
          <w:sz w:val="28"/>
          <w:szCs w:val="28"/>
        </w:rPr>
      </w:pPr>
      <w:r w:rsidRPr="00240221">
        <w:rPr>
          <w:sz w:val="28"/>
          <w:szCs w:val="28"/>
        </w:rPr>
        <w:lastRenderedPageBreak/>
        <w:t xml:space="preserve">1. Điều chỉnh </w:t>
      </w:r>
      <w:r w:rsidR="00D47B07" w:rsidRPr="00240221">
        <w:rPr>
          <w:sz w:val="28"/>
          <w:szCs w:val="28"/>
        </w:rPr>
        <w:t>khu đất diện tích 12.100,9 m</w:t>
      </w:r>
      <w:r w:rsidR="00D47B07" w:rsidRPr="00240221">
        <w:rPr>
          <w:sz w:val="28"/>
          <w:szCs w:val="28"/>
          <w:vertAlign w:val="superscript"/>
        </w:rPr>
        <w:t>2</w:t>
      </w:r>
      <w:r w:rsidR="00D47B07" w:rsidRPr="00240221">
        <w:rPr>
          <w:sz w:val="28"/>
          <w:szCs w:val="28"/>
        </w:rPr>
        <w:t xml:space="preserve"> (</w:t>
      </w:r>
      <w:r w:rsidR="005C2E31" w:rsidRPr="00240221">
        <w:rPr>
          <w:sz w:val="28"/>
          <w:szCs w:val="28"/>
        </w:rPr>
        <w:t>k</w:t>
      </w:r>
      <w:r w:rsidR="00D47B07" w:rsidRPr="00240221">
        <w:rPr>
          <w:sz w:val="28"/>
          <w:szCs w:val="28"/>
        </w:rPr>
        <w:t>ý hiệu T</w:t>
      </w:r>
      <w:r w:rsidR="005C2E31" w:rsidRPr="00240221">
        <w:rPr>
          <w:sz w:val="28"/>
          <w:szCs w:val="28"/>
        </w:rPr>
        <w:t>T</w:t>
      </w:r>
      <w:r w:rsidR="00D47B07" w:rsidRPr="00240221">
        <w:rPr>
          <w:sz w:val="28"/>
          <w:szCs w:val="28"/>
        </w:rPr>
        <w:t>H)</w:t>
      </w:r>
      <w:r w:rsidR="005C2E31" w:rsidRPr="00240221">
        <w:rPr>
          <w:sz w:val="28"/>
          <w:szCs w:val="28"/>
        </w:rPr>
        <w:t xml:space="preserve"> </w:t>
      </w:r>
      <w:r w:rsidR="00D47B07" w:rsidRPr="00240221">
        <w:rPr>
          <w:sz w:val="28"/>
          <w:szCs w:val="28"/>
        </w:rPr>
        <w:t xml:space="preserve">với chức năng đất giáo dục - trường tiểu học </w:t>
      </w:r>
      <w:r w:rsidR="005C2E31" w:rsidRPr="00240221">
        <w:rPr>
          <w:sz w:val="28"/>
          <w:szCs w:val="28"/>
        </w:rPr>
        <w:t>và khu đất diện tích 7.314,5 m</w:t>
      </w:r>
      <w:r w:rsidR="005C2E31" w:rsidRPr="00240221">
        <w:rPr>
          <w:sz w:val="28"/>
          <w:szCs w:val="28"/>
          <w:vertAlign w:val="superscript"/>
        </w:rPr>
        <w:t>2</w:t>
      </w:r>
      <w:r w:rsidR="005C2E31" w:rsidRPr="00240221">
        <w:rPr>
          <w:sz w:val="28"/>
          <w:szCs w:val="28"/>
        </w:rPr>
        <w:t xml:space="preserve"> (ký hiệu TMG) với chức năng đất giáo dục - trường mẫu giáo </w:t>
      </w:r>
      <w:r w:rsidR="00D47B07" w:rsidRPr="00240221">
        <w:rPr>
          <w:sz w:val="28"/>
          <w:szCs w:val="28"/>
        </w:rPr>
        <w:t>sang chức năng đất giáo dục (</w:t>
      </w:r>
      <w:r w:rsidR="00281126" w:rsidRPr="00240221">
        <w:rPr>
          <w:sz w:val="28"/>
          <w:szCs w:val="28"/>
        </w:rPr>
        <w:t>trường nhiều cấp</w:t>
      </w:r>
      <w:r w:rsidR="00D47B07" w:rsidRPr="00240221">
        <w:rPr>
          <w:sz w:val="28"/>
          <w:szCs w:val="28"/>
        </w:rPr>
        <w:t>)</w:t>
      </w:r>
      <w:r w:rsidR="005C2E31" w:rsidRPr="00240221">
        <w:rPr>
          <w:sz w:val="28"/>
          <w:szCs w:val="28"/>
        </w:rPr>
        <w:t xml:space="preserve"> ký hiệu lần lượt là TH1, TH2</w:t>
      </w:r>
      <w:r w:rsidR="00F35F2A" w:rsidRPr="00240221">
        <w:rPr>
          <w:sz w:val="28"/>
          <w:szCs w:val="28"/>
        </w:rPr>
        <w:t>, với</w:t>
      </w:r>
      <w:r w:rsidR="00281126" w:rsidRPr="00240221">
        <w:rPr>
          <w:sz w:val="28"/>
          <w:szCs w:val="28"/>
        </w:rPr>
        <w:t xml:space="preserve"> các chỉ tiêu:</w:t>
      </w:r>
    </w:p>
    <w:p w14:paraId="43379233" w14:textId="1D8CA9E7" w:rsidR="00281126" w:rsidRPr="00240221" w:rsidRDefault="00281126" w:rsidP="002722E8">
      <w:pPr>
        <w:spacing w:after="120"/>
        <w:ind w:firstLine="567"/>
        <w:jc w:val="both"/>
        <w:rPr>
          <w:sz w:val="28"/>
          <w:szCs w:val="28"/>
        </w:rPr>
      </w:pPr>
      <w:r w:rsidRPr="00240221">
        <w:rPr>
          <w:sz w:val="28"/>
          <w:szCs w:val="28"/>
        </w:rPr>
        <w:t>a) Tầng cao xây dựng tối đa 07 tầng, chiều cao xây dựng ≤ 30 m.</w:t>
      </w:r>
    </w:p>
    <w:p w14:paraId="7AB232C2" w14:textId="45F08D03" w:rsidR="00281126" w:rsidRPr="00240221" w:rsidRDefault="00281126" w:rsidP="002722E8">
      <w:pPr>
        <w:spacing w:after="120"/>
        <w:ind w:firstLine="567"/>
        <w:jc w:val="both"/>
        <w:rPr>
          <w:sz w:val="28"/>
          <w:szCs w:val="28"/>
        </w:rPr>
      </w:pPr>
      <w:r w:rsidRPr="00240221">
        <w:rPr>
          <w:sz w:val="28"/>
          <w:szCs w:val="28"/>
        </w:rPr>
        <w:t>b) Mật độ xây dựng ≤ 40%.</w:t>
      </w:r>
    </w:p>
    <w:p w14:paraId="6A125897" w14:textId="13BCE4A0" w:rsidR="00281126" w:rsidRPr="00240221" w:rsidRDefault="00281126" w:rsidP="002722E8">
      <w:pPr>
        <w:spacing w:after="120"/>
        <w:ind w:firstLine="567"/>
        <w:jc w:val="both"/>
        <w:rPr>
          <w:sz w:val="28"/>
          <w:szCs w:val="28"/>
        </w:rPr>
      </w:pPr>
      <w:r w:rsidRPr="00240221">
        <w:rPr>
          <w:sz w:val="28"/>
          <w:szCs w:val="28"/>
        </w:rPr>
        <w:t>c) Khoảng lùi xây dựng</w:t>
      </w:r>
      <w:r w:rsidR="006447CF" w:rsidRPr="00240221">
        <w:rPr>
          <w:sz w:val="28"/>
          <w:szCs w:val="28"/>
        </w:rPr>
        <w:t>: So với chỉ giới đường đỏ ≥ 10 m, khoảng lùi tại các ranh đất còn lại ≥ 4 m.</w:t>
      </w:r>
    </w:p>
    <w:p w14:paraId="35501CF9" w14:textId="4B7B3A5B" w:rsidR="00B42103" w:rsidRPr="00240221" w:rsidRDefault="00276FE5" w:rsidP="00291F36">
      <w:pPr>
        <w:spacing w:after="120"/>
        <w:ind w:firstLine="567"/>
        <w:jc w:val="both"/>
        <w:rPr>
          <w:sz w:val="28"/>
          <w:szCs w:val="28"/>
        </w:rPr>
      </w:pPr>
      <w:r w:rsidRPr="00240221">
        <w:rPr>
          <w:sz w:val="28"/>
          <w:szCs w:val="28"/>
        </w:rPr>
        <w:t xml:space="preserve">2. Điều chỉnh </w:t>
      </w:r>
      <w:r w:rsidR="00CD59C9" w:rsidRPr="00240221">
        <w:rPr>
          <w:sz w:val="28"/>
          <w:szCs w:val="28"/>
        </w:rPr>
        <w:t xml:space="preserve">vạt </w:t>
      </w:r>
      <w:r w:rsidRPr="00240221">
        <w:rPr>
          <w:sz w:val="28"/>
          <w:szCs w:val="28"/>
        </w:rPr>
        <w:t xml:space="preserve">góc tại </w:t>
      </w:r>
      <w:r w:rsidR="00291F36" w:rsidRPr="00240221">
        <w:rPr>
          <w:sz w:val="28"/>
          <w:szCs w:val="28"/>
        </w:rPr>
        <w:t>một số</w:t>
      </w:r>
      <w:r w:rsidRPr="00240221">
        <w:rPr>
          <w:sz w:val="28"/>
          <w:szCs w:val="28"/>
        </w:rPr>
        <w:t xml:space="preserve"> nút giao thông nội bộ là 4 m x 4 m để phù hợp với các quy định hiện hành và đảm bảo mỹ quan đô thị, </w:t>
      </w:r>
      <w:r w:rsidR="00291F36" w:rsidRPr="00240221">
        <w:rPr>
          <w:sz w:val="28"/>
          <w:szCs w:val="28"/>
        </w:rPr>
        <w:t>cụ thể tại nút giao</w:t>
      </w:r>
      <w:r w:rsidRPr="00240221">
        <w:rPr>
          <w:sz w:val="28"/>
          <w:szCs w:val="28"/>
        </w:rPr>
        <w:t>:</w:t>
      </w:r>
      <w:r w:rsidR="00291F36" w:rsidRPr="00240221">
        <w:rPr>
          <w:sz w:val="28"/>
          <w:szCs w:val="28"/>
        </w:rPr>
        <w:t xml:space="preserve"> Đ</w:t>
      </w:r>
      <w:r w:rsidRPr="00240221">
        <w:rPr>
          <w:sz w:val="28"/>
          <w:szCs w:val="28"/>
        </w:rPr>
        <w:t>ường E16 với đường F17; đường E16 với đường D1; đường E15 với đường F17; đường E15 với đường D1; đường E14 với đường F16; đường E14 với đường D1; đường E12 với đường F16; đường E12 với đường D</w:t>
      </w:r>
      <w:r w:rsidR="00240221">
        <w:rPr>
          <w:sz w:val="28"/>
          <w:szCs w:val="28"/>
        </w:rPr>
        <w:t>1; đường nội bộ Khu t</w:t>
      </w:r>
      <w:r w:rsidRPr="00240221">
        <w:rPr>
          <w:sz w:val="28"/>
          <w:szCs w:val="28"/>
        </w:rPr>
        <w:t>ái định cư Bửu Long với đường F10; đường E6 với đường F7; đường E3 với đường F7.</w:t>
      </w:r>
      <w:r w:rsidR="00B42103" w:rsidRPr="00240221">
        <w:rPr>
          <w:sz w:val="28"/>
          <w:szCs w:val="28"/>
        </w:rPr>
        <w:t xml:space="preserve"> Việc điều chỉnh làm tăng 110,7 m</w:t>
      </w:r>
      <w:r w:rsidR="00B42103" w:rsidRPr="00240221">
        <w:rPr>
          <w:sz w:val="28"/>
          <w:szCs w:val="28"/>
          <w:vertAlign w:val="superscript"/>
        </w:rPr>
        <w:t>2</w:t>
      </w:r>
      <w:r w:rsidR="00B42103" w:rsidRPr="00240221">
        <w:rPr>
          <w:sz w:val="28"/>
          <w:szCs w:val="28"/>
        </w:rPr>
        <w:t xml:space="preserve"> đất ở và giảm 110,7 m</w:t>
      </w:r>
      <w:r w:rsidR="00B42103" w:rsidRPr="00240221">
        <w:rPr>
          <w:sz w:val="28"/>
          <w:szCs w:val="28"/>
          <w:vertAlign w:val="superscript"/>
        </w:rPr>
        <w:t>2</w:t>
      </w:r>
      <w:r w:rsidR="00B42103" w:rsidRPr="00240221">
        <w:rPr>
          <w:sz w:val="28"/>
          <w:szCs w:val="28"/>
        </w:rPr>
        <w:t xml:space="preserve"> đất giao thông.</w:t>
      </w:r>
    </w:p>
    <w:p w14:paraId="55C7A514" w14:textId="18637506" w:rsidR="00276FE5" w:rsidRPr="00240221" w:rsidRDefault="00276FE5" w:rsidP="002722E8">
      <w:pPr>
        <w:spacing w:after="120"/>
        <w:ind w:firstLine="567"/>
        <w:jc w:val="both"/>
        <w:rPr>
          <w:sz w:val="28"/>
          <w:szCs w:val="28"/>
        </w:rPr>
      </w:pPr>
      <w:r w:rsidRPr="00240221">
        <w:rPr>
          <w:sz w:val="28"/>
          <w:szCs w:val="28"/>
        </w:rPr>
        <w:t xml:space="preserve">3. </w:t>
      </w:r>
      <w:r w:rsidR="00B56555" w:rsidRPr="00240221">
        <w:rPr>
          <w:sz w:val="28"/>
          <w:szCs w:val="28"/>
        </w:rPr>
        <w:t xml:space="preserve">Điều chỉnh quy hoạch phân lô tại phạm vi </w:t>
      </w:r>
      <w:r w:rsidRPr="00240221">
        <w:rPr>
          <w:sz w:val="28"/>
          <w:szCs w:val="28"/>
        </w:rPr>
        <w:t>07 lô đất</w:t>
      </w:r>
      <w:r w:rsidR="00B56555" w:rsidRPr="00240221">
        <w:rPr>
          <w:sz w:val="28"/>
          <w:szCs w:val="28"/>
        </w:rPr>
        <w:t xml:space="preserve"> ở</w:t>
      </w:r>
      <w:r w:rsidRPr="00240221">
        <w:rPr>
          <w:sz w:val="28"/>
          <w:szCs w:val="28"/>
        </w:rPr>
        <w:t xml:space="preserve"> liên kế vườn</w:t>
      </w:r>
      <w:r w:rsidR="00B56555" w:rsidRPr="00240221">
        <w:rPr>
          <w:sz w:val="28"/>
          <w:szCs w:val="28"/>
        </w:rPr>
        <w:t xml:space="preserve"> (từ lô 08 đến lô 14) thuộc một phần ô đất ký hiệu </w:t>
      </w:r>
      <w:r w:rsidRPr="00240221">
        <w:rPr>
          <w:sz w:val="28"/>
          <w:szCs w:val="28"/>
        </w:rPr>
        <w:t xml:space="preserve">LKV-2 thành 19 lô </w:t>
      </w:r>
      <w:r w:rsidR="00B56555" w:rsidRPr="00240221">
        <w:rPr>
          <w:sz w:val="28"/>
          <w:szCs w:val="28"/>
        </w:rPr>
        <w:t xml:space="preserve">đất ở </w:t>
      </w:r>
      <w:r w:rsidRPr="00240221">
        <w:rPr>
          <w:sz w:val="28"/>
          <w:szCs w:val="28"/>
        </w:rPr>
        <w:t>liên kế tái định cư</w:t>
      </w:r>
      <w:r w:rsidR="00B56555" w:rsidRPr="00240221">
        <w:rPr>
          <w:sz w:val="28"/>
          <w:szCs w:val="28"/>
        </w:rPr>
        <w:t>, ký hiệu TDC-10</w:t>
      </w:r>
      <w:r w:rsidRPr="00240221">
        <w:rPr>
          <w:sz w:val="28"/>
          <w:szCs w:val="28"/>
        </w:rPr>
        <w:t xml:space="preserve">, </w:t>
      </w:r>
      <w:r w:rsidR="00B56555" w:rsidRPr="00240221">
        <w:rPr>
          <w:sz w:val="28"/>
          <w:szCs w:val="28"/>
        </w:rPr>
        <w:t>với các chỉ tiêu: T</w:t>
      </w:r>
      <w:r w:rsidRPr="00240221">
        <w:rPr>
          <w:sz w:val="28"/>
          <w:szCs w:val="28"/>
        </w:rPr>
        <w:t>ầng cao 02-04 tầng, mật độ xây dựng ≤ 85%.</w:t>
      </w:r>
    </w:p>
    <w:p w14:paraId="6714CAED" w14:textId="193D814C" w:rsidR="00276FE5" w:rsidRPr="00240221" w:rsidRDefault="00B56555" w:rsidP="002722E8">
      <w:pPr>
        <w:spacing w:after="120"/>
        <w:ind w:firstLine="567"/>
        <w:jc w:val="both"/>
        <w:rPr>
          <w:sz w:val="28"/>
          <w:szCs w:val="28"/>
        </w:rPr>
      </w:pPr>
      <w:r w:rsidRPr="00240221">
        <w:rPr>
          <w:sz w:val="28"/>
          <w:szCs w:val="28"/>
        </w:rPr>
        <w:t>4.</w:t>
      </w:r>
      <w:r w:rsidR="00276FE5" w:rsidRPr="00240221">
        <w:rPr>
          <w:sz w:val="28"/>
          <w:szCs w:val="28"/>
        </w:rPr>
        <w:t xml:space="preserve"> </w:t>
      </w:r>
      <w:r w:rsidRPr="00240221">
        <w:rPr>
          <w:sz w:val="28"/>
          <w:szCs w:val="28"/>
        </w:rPr>
        <w:t xml:space="preserve">Điều chỉnh quy hoạch phân lô tại phạm vi </w:t>
      </w:r>
      <w:r w:rsidR="00276FE5" w:rsidRPr="00240221">
        <w:rPr>
          <w:sz w:val="28"/>
          <w:szCs w:val="28"/>
        </w:rPr>
        <w:t>08 lô đất</w:t>
      </w:r>
      <w:r w:rsidRPr="00240221">
        <w:rPr>
          <w:sz w:val="28"/>
          <w:szCs w:val="28"/>
        </w:rPr>
        <w:t xml:space="preserve"> ở</w:t>
      </w:r>
      <w:r w:rsidR="00276FE5" w:rsidRPr="00240221">
        <w:rPr>
          <w:sz w:val="28"/>
          <w:szCs w:val="28"/>
        </w:rPr>
        <w:t xml:space="preserve"> tái định cư </w:t>
      </w:r>
      <w:r w:rsidR="006B1B92" w:rsidRPr="00240221">
        <w:rPr>
          <w:sz w:val="28"/>
          <w:szCs w:val="28"/>
        </w:rPr>
        <w:t>(</w:t>
      </w:r>
      <w:r w:rsidR="00276FE5" w:rsidRPr="00240221">
        <w:rPr>
          <w:sz w:val="28"/>
          <w:szCs w:val="28"/>
        </w:rPr>
        <w:t>từ lô 24 đến lô 31</w:t>
      </w:r>
      <w:r w:rsidR="006B1B92" w:rsidRPr="00240221">
        <w:rPr>
          <w:sz w:val="28"/>
          <w:szCs w:val="28"/>
        </w:rPr>
        <w:t>) thuộc một phần ô đất ký hiệu TDC-1</w:t>
      </w:r>
      <w:r w:rsidR="00276FE5" w:rsidRPr="00240221">
        <w:rPr>
          <w:sz w:val="28"/>
          <w:szCs w:val="28"/>
        </w:rPr>
        <w:t xml:space="preserve"> thành 07 lô đất </w:t>
      </w:r>
      <w:r w:rsidR="006B1B92" w:rsidRPr="00240221">
        <w:rPr>
          <w:sz w:val="28"/>
          <w:szCs w:val="28"/>
        </w:rPr>
        <w:t xml:space="preserve">ở </w:t>
      </w:r>
      <w:r w:rsidR="00276FE5" w:rsidRPr="00240221">
        <w:rPr>
          <w:sz w:val="28"/>
          <w:szCs w:val="28"/>
        </w:rPr>
        <w:t xml:space="preserve">nhà liên kế, </w:t>
      </w:r>
      <w:r w:rsidR="006B1B92" w:rsidRPr="00240221">
        <w:rPr>
          <w:sz w:val="28"/>
          <w:szCs w:val="28"/>
        </w:rPr>
        <w:t>với các chỉ tiêu: T</w:t>
      </w:r>
      <w:r w:rsidR="00276FE5" w:rsidRPr="00240221">
        <w:rPr>
          <w:sz w:val="28"/>
          <w:szCs w:val="28"/>
        </w:rPr>
        <w:t>ầng cao 02-04 tầng, mật độ xây dựng ≤ 85%.</w:t>
      </w:r>
    </w:p>
    <w:p w14:paraId="2C88B7DF" w14:textId="1A8FF14E" w:rsidR="00276FE5" w:rsidRPr="00240221" w:rsidRDefault="006B1B92" w:rsidP="002722E8">
      <w:pPr>
        <w:spacing w:after="120"/>
        <w:ind w:firstLine="567"/>
        <w:jc w:val="both"/>
        <w:rPr>
          <w:sz w:val="28"/>
          <w:szCs w:val="28"/>
        </w:rPr>
      </w:pPr>
      <w:r w:rsidRPr="00240221">
        <w:rPr>
          <w:sz w:val="28"/>
          <w:szCs w:val="28"/>
        </w:rPr>
        <w:t>5</w:t>
      </w:r>
      <w:r w:rsidR="00276FE5" w:rsidRPr="00240221">
        <w:rPr>
          <w:sz w:val="28"/>
          <w:szCs w:val="28"/>
        </w:rPr>
        <w:t>. Hoán đổi đối tượng bố trí tái định cư giữa khu nhà ở xã hội (tại phía Tây Nam dự án) với khu nhà tái định cư (tại phía Đông dự án)</w:t>
      </w:r>
      <w:r w:rsidRPr="00240221">
        <w:rPr>
          <w:sz w:val="28"/>
          <w:szCs w:val="28"/>
        </w:rPr>
        <w:t xml:space="preserve"> theo chủ trương của UBND tỉnh tại Văn bản số 1148/UBND-KTN ngày 01 tháng 02 năm 2018</w:t>
      </w:r>
      <w:r w:rsidR="00276FE5" w:rsidRPr="00240221">
        <w:rPr>
          <w:sz w:val="28"/>
          <w:szCs w:val="28"/>
        </w:rPr>
        <w:t>.</w:t>
      </w:r>
    </w:p>
    <w:p w14:paraId="6F7C42AA" w14:textId="4FD67B45" w:rsidR="00276FE5" w:rsidRPr="00240221" w:rsidRDefault="006B1B92" w:rsidP="002722E8">
      <w:pPr>
        <w:spacing w:after="120"/>
        <w:ind w:firstLine="567"/>
        <w:jc w:val="both"/>
        <w:rPr>
          <w:sz w:val="28"/>
          <w:szCs w:val="28"/>
        </w:rPr>
      </w:pPr>
      <w:r w:rsidRPr="00240221">
        <w:rPr>
          <w:sz w:val="28"/>
          <w:szCs w:val="28"/>
        </w:rPr>
        <w:t xml:space="preserve">6. </w:t>
      </w:r>
      <w:r w:rsidR="00276FE5" w:rsidRPr="00240221">
        <w:rPr>
          <w:sz w:val="28"/>
          <w:szCs w:val="28"/>
        </w:rPr>
        <w:t>Với các nội dung điều chỉnh cục bộ nêu trên, tỷ lệ cơ cấu sử dụng các loại đất trong khu quy hoạch có sự thay đổi như sau:</w:t>
      </w:r>
    </w:p>
    <w:tbl>
      <w:tblPr>
        <w:tblW w:w="5491" w:type="pct"/>
        <w:tblInd w:w="-572" w:type="dxa"/>
        <w:tblLook w:val="04A0" w:firstRow="1" w:lastRow="0" w:firstColumn="1" w:lastColumn="0" w:noHBand="0" w:noVBand="1"/>
      </w:tblPr>
      <w:tblGrid>
        <w:gridCol w:w="633"/>
        <w:gridCol w:w="2410"/>
        <w:gridCol w:w="1216"/>
        <w:gridCol w:w="904"/>
        <w:gridCol w:w="779"/>
        <w:gridCol w:w="1216"/>
        <w:gridCol w:w="904"/>
        <w:gridCol w:w="779"/>
        <w:gridCol w:w="1111"/>
      </w:tblGrid>
      <w:tr w:rsidR="00240221" w:rsidRPr="00240221" w14:paraId="57D2A400" w14:textId="77777777" w:rsidTr="00240221">
        <w:trPr>
          <w:trHeight w:val="437"/>
        </w:trPr>
        <w:tc>
          <w:tcPr>
            <w:tcW w:w="318" w:type="pct"/>
            <w:vMerge w:val="restart"/>
            <w:tcBorders>
              <w:top w:val="single" w:sz="4" w:space="0" w:color="auto"/>
              <w:left w:val="single" w:sz="4" w:space="0" w:color="auto"/>
              <w:right w:val="single" w:sz="4" w:space="0" w:color="auto"/>
            </w:tcBorders>
            <w:shd w:val="clear" w:color="auto" w:fill="auto"/>
            <w:vAlign w:val="center"/>
            <w:hideMark/>
          </w:tcPr>
          <w:p w14:paraId="28F58420" w14:textId="351DA5AA" w:rsidR="006B1B92" w:rsidRPr="00240221" w:rsidRDefault="00240221" w:rsidP="000E122F">
            <w:pPr>
              <w:widowControl w:val="0"/>
              <w:spacing w:before="40" w:after="40"/>
              <w:ind w:left="-57" w:right="-57"/>
              <w:jc w:val="center"/>
              <w:rPr>
                <w:b/>
                <w:bCs/>
                <w:sz w:val="25"/>
                <w:szCs w:val="25"/>
                <w:lang w:val="vi-VN" w:eastAsia="vi-VN"/>
              </w:rPr>
            </w:pPr>
            <w:r>
              <w:rPr>
                <w:b/>
                <w:bCs/>
                <w:sz w:val="25"/>
                <w:szCs w:val="25"/>
                <w:lang w:val="vi-VN" w:eastAsia="vi-VN"/>
              </w:rPr>
              <w:t>STT</w:t>
            </w:r>
          </w:p>
        </w:tc>
        <w:tc>
          <w:tcPr>
            <w:tcW w:w="1211" w:type="pct"/>
            <w:vMerge w:val="restart"/>
            <w:tcBorders>
              <w:top w:val="single" w:sz="4" w:space="0" w:color="auto"/>
              <w:left w:val="nil"/>
              <w:right w:val="single" w:sz="4" w:space="0" w:color="auto"/>
            </w:tcBorders>
            <w:shd w:val="clear" w:color="auto" w:fill="auto"/>
            <w:vAlign w:val="center"/>
            <w:hideMark/>
          </w:tcPr>
          <w:p w14:paraId="6DDA8741" w14:textId="77777777" w:rsidR="006B1B92" w:rsidRPr="00240221" w:rsidRDefault="006B1B92" w:rsidP="000E122F">
            <w:pPr>
              <w:widowControl w:val="0"/>
              <w:spacing w:before="40" w:after="40"/>
              <w:ind w:left="-57" w:right="-57"/>
              <w:jc w:val="center"/>
              <w:rPr>
                <w:b/>
                <w:bCs/>
                <w:sz w:val="25"/>
                <w:szCs w:val="25"/>
                <w:lang w:val="vi-VN" w:eastAsia="vi-VN"/>
              </w:rPr>
            </w:pPr>
            <w:r w:rsidRPr="00240221">
              <w:rPr>
                <w:b/>
                <w:bCs/>
                <w:sz w:val="25"/>
                <w:szCs w:val="25"/>
                <w:lang w:val="vi-VN" w:eastAsia="vi-VN"/>
              </w:rPr>
              <w:t>Loại đất</w:t>
            </w:r>
          </w:p>
        </w:tc>
        <w:tc>
          <w:tcPr>
            <w:tcW w:w="1456" w:type="pct"/>
            <w:gridSpan w:val="3"/>
            <w:tcBorders>
              <w:top w:val="single" w:sz="4" w:space="0" w:color="auto"/>
              <w:left w:val="nil"/>
              <w:bottom w:val="single" w:sz="4" w:space="0" w:color="auto"/>
              <w:right w:val="single" w:sz="4" w:space="0" w:color="auto"/>
            </w:tcBorders>
            <w:shd w:val="clear" w:color="auto" w:fill="auto"/>
            <w:vAlign w:val="center"/>
            <w:hideMark/>
          </w:tcPr>
          <w:p w14:paraId="7383BB53" w14:textId="77777777" w:rsidR="006B1B92" w:rsidRPr="00240221" w:rsidRDefault="006B1B92" w:rsidP="000E122F">
            <w:pPr>
              <w:widowControl w:val="0"/>
              <w:spacing w:before="40" w:after="40"/>
              <w:ind w:left="-57" w:right="-57"/>
              <w:jc w:val="center"/>
              <w:rPr>
                <w:b/>
                <w:bCs/>
                <w:sz w:val="25"/>
                <w:szCs w:val="25"/>
                <w:lang w:val="vi-VN" w:eastAsia="vi-VN"/>
              </w:rPr>
            </w:pPr>
            <w:r w:rsidRPr="00240221">
              <w:rPr>
                <w:b/>
                <w:bCs/>
                <w:sz w:val="25"/>
                <w:szCs w:val="25"/>
                <w:lang w:val="vi-VN" w:eastAsia="vi-VN"/>
              </w:rPr>
              <w:t>Theo quy hoạch được duyệt</w:t>
            </w:r>
          </w:p>
        </w:tc>
        <w:tc>
          <w:tcPr>
            <w:tcW w:w="14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B662F4" w14:textId="77777777" w:rsidR="006B1B92" w:rsidRPr="00240221" w:rsidRDefault="006B1B92" w:rsidP="000E122F">
            <w:pPr>
              <w:widowControl w:val="0"/>
              <w:spacing w:before="40" w:after="40"/>
              <w:ind w:left="-57" w:right="-57"/>
              <w:jc w:val="center"/>
              <w:rPr>
                <w:b/>
                <w:bCs/>
                <w:sz w:val="25"/>
                <w:szCs w:val="25"/>
                <w:lang w:val="vi-VN" w:eastAsia="vi-VN"/>
              </w:rPr>
            </w:pPr>
            <w:r w:rsidRPr="00240221">
              <w:rPr>
                <w:b/>
                <w:bCs/>
                <w:sz w:val="25"/>
                <w:szCs w:val="25"/>
                <w:lang w:val="vi-VN" w:eastAsia="vi-VN"/>
              </w:rPr>
              <w:t xml:space="preserve">Theo điều </w:t>
            </w:r>
            <w:r w:rsidRPr="00240221">
              <w:rPr>
                <w:b/>
                <w:bCs/>
                <w:sz w:val="25"/>
                <w:szCs w:val="25"/>
                <w:lang w:eastAsia="vi-VN"/>
              </w:rPr>
              <w:t xml:space="preserve">cục bộ </w:t>
            </w:r>
            <w:r w:rsidRPr="00240221">
              <w:rPr>
                <w:b/>
                <w:bCs/>
                <w:sz w:val="25"/>
                <w:szCs w:val="25"/>
                <w:lang w:val="vi-VN" w:eastAsia="vi-VN"/>
              </w:rPr>
              <w:t xml:space="preserve">quy hoạch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EF199" w14:textId="77777777" w:rsidR="006B1B92" w:rsidRPr="00240221" w:rsidRDefault="006B1B92" w:rsidP="000E122F">
            <w:pPr>
              <w:widowControl w:val="0"/>
              <w:spacing w:before="40" w:after="40"/>
              <w:ind w:left="-57" w:right="-57"/>
              <w:jc w:val="center"/>
              <w:rPr>
                <w:b/>
                <w:bCs/>
                <w:sz w:val="25"/>
                <w:szCs w:val="25"/>
                <w:lang w:val="vi-VN" w:eastAsia="vi-VN"/>
              </w:rPr>
            </w:pPr>
            <w:r w:rsidRPr="00240221">
              <w:rPr>
                <w:b/>
                <w:bCs/>
                <w:sz w:val="25"/>
                <w:szCs w:val="25"/>
                <w:lang w:val="vi-VN" w:eastAsia="vi-VN"/>
              </w:rPr>
              <w:t>Tăng (</w:t>
            </w:r>
            <w:r w:rsidRPr="00240221">
              <w:rPr>
                <w:b/>
                <w:bCs/>
                <w:sz w:val="25"/>
                <w:szCs w:val="25"/>
                <w:lang w:eastAsia="vi-VN"/>
              </w:rPr>
              <w:t>+</w:t>
            </w:r>
            <w:r w:rsidRPr="00240221">
              <w:rPr>
                <w:b/>
                <w:bCs/>
                <w:sz w:val="25"/>
                <w:szCs w:val="25"/>
                <w:lang w:val="vi-VN" w:eastAsia="vi-VN"/>
              </w:rPr>
              <w:t>)/ Giảm (-)</w:t>
            </w:r>
          </w:p>
          <w:p w14:paraId="798754F1" w14:textId="77777777" w:rsidR="006B1B92" w:rsidRPr="00240221" w:rsidRDefault="006B1B92" w:rsidP="000E122F">
            <w:pPr>
              <w:widowControl w:val="0"/>
              <w:spacing w:before="40" w:after="40"/>
              <w:ind w:left="-57" w:right="-57"/>
              <w:jc w:val="center"/>
              <w:rPr>
                <w:b/>
                <w:bCs/>
                <w:sz w:val="25"/>
                <w:szCs w:val="25"/>
                <w:lang w:val="vi-VN" w:eastAsia="vi-VN"/>
              </w:rPr>
            </w:pPr>
            <w:r w:rsidRPr="00240221">
              <w:rPr>
                <w:b/>
                <w:bCs/>
                <w:sz w:val="25"/>
                <w:szCs w:val="25"/>
                <w:lang w:val="vi-VN" w:eastAsia="vi-VN"/>
              </w:rPr>
              <w:t>(m²)</w:t>
            </w:r>
          </w:p>
        </w:tc>
      </w:tr>
      <w:tr w:rsidR="00240221" w:rsidRPr="00240221" w14:paraId="7D507A8B" w14:textId="77777777" w:rsidTr="00240221">
        <w:trPr>
          <w:trHeight w:val="750"/>
        </w:trPr>
        <w:tc>
          <w:tcPr>
            <w:tcW w:w="318" w:type="pct"/>
            <w:vMerge/>
            <w:tcBorders>
              <w:left w:val="single" w:sz="4" w:space="0" w:color="auto"/>
              <w:bottom w:val="single" w:sz="4" w:space="0" w:color="auto"/>
              <w:right w:val="single" w:sz="4" w:space="0" w:color="auto"/>
            </w:tcBorders>
            <w:shd w:val="clear" w:color="auto" w:fill="auto"/>
            <w:vAlign w:val="center"/>
            <w:hideMark/>
          </w:tcPr>
          <w:p w14:paraId="46EA76FB" w14:textId="77777777" w:rsidR="006B1B92" w:rsidRPr="00240221" w:rsidRDefault="006B1B92" w:rsidP="000E122F">
            <w:pPr>
              <w:widowControl w:val="0"/>
              <w:spacing w:before="40" w:after="40" w:line="320" w:lineRule="atLeast"/>
              <w:ind w:left="-57" w:right="-57"/>
              <w:jc w:val="center"/>
              <w:rPr>
                <w:sz w:val="25"/>
                <w:szCs w:val="25"/>
                <w:lang w:val="vi-VN" w:eastAsia="vi-VN"/>
              </w:rPr>
            </w:pPr>
          </w:p>
        </w:tc>
        <w:tc>
          <w:tcPr>
            <w:tcW w:w="1211" w:type="pct"/>
            <w:vMerge/>
            <w:tcBorders>
              <w:left w:val="nil"/>
              <w:bottom w:val="single" w:sz="4" w:space="0" w:color="auto"/>
              <w:right w:val="single" w:sz="4" w:space="0" w:color="auto"/>
            </w:tcBorders>
            <w:shd w:val="clear" w:color="auto" w:fill="auto"/>
            <w:vAlign w:val="center"/>
            <w:hideMark/>
          </w:tcPr>
          <w:p w14:paraId="2BE35300" w14:textId="77777777" w:rsidR="006B1B92" w:rsidRPr="00240221" w:rsidRDefault="006B1B92" w:rsidP="000E122F">
            <w:pPr>
              <w:widowControl w:val="0"/>
              <w:spacing w:before="40" w:after="40" w:line="320" w:lineRule="atLeast"/>
              <w:ind w:left="-57" w:right="-57"/>
              <w:jc w:val="center"/>
              <w:rPr>
                <w:sz w:val="25"/>
                <w:szCs w:val="25"/>
                <w:lang w:val="vi-VN" w:eastAsia="vi-VN"/>
              </w:rPr>
            </w:pPr>
          </w:p>
        </w:tc>
        <w:tc>
          <w:tcPr>
            <w:tcW w:w="611" w:type="pct"/>
            <w:tcBorders>
              <w:top w:val="nil"/>
              <w:left w:val="nil"/>
              <w:bottom w:val="single" w:sz="4" w:space="0" w:color="auto"/>
              <w:right w:val="single" w:sz="4" w:space="0" w:color="auto"/>
            </w:tcBorders>
            <w:shd w:val="clear" w:color="auto" w:fill="auto"/>
            <w:vAlign w:val="center"/>
            <w:hideMark/>
          </w:tcPr>
          <w:p w14:paraId="4AF3FC58" w14:textId="77777777" w:rsidR="006B1B92" w:rsidRPr="00240221" w:rsidRDefault="006B1B92" w:rsidP="000E122F">
            <w:pPr>
              <w:widowControl w:val="0"/>
              <w:ind w:left="-57" w:right="-57"/>
              <w:jc w:val="center"/>
              <w:rPr>
                <w:b/>
                <w:bCs/>
                <w:sz w:val="25"/>
                <w:szCs w:val="25"/>
                <w:lang w:val="vi-VN" w:eastAsia="vi-VN"/>
              </w:rPr>
            </w:pPr>
            <w:r w:rsidRPr="00240221">
              <w:rPr>
                <w:b/>
                <w:bCs/>
                <w:sz w:val="25"/>
                <w:szCs w:val="25"/>
                <w:lang w:val="vi-VN" w:eastAsia="vi-VN"/>
              </w:rPr>
              <w:t>Diện tích</w:t>
            </w:r>
            <w:r w:rsidRPr="00240221">
              <w:rPr>
                <w:b/>
                <w:bCs/>
                <w:sz w:val="25"/>
                <w:szCs w:val="25"/>
                <w:lang w:val="vi-VN" w:eastAsia="vi-VN"/>
              </w:rPr>
              <w:br/>
              <w:t>(m²)</w:t>
            </w:r>
          </w:p>
        </w:tc>
        <w:tc>
          <w:tcPr>
            <w:tcW w:w="454" w:type="pct"/>
            <w:tcBorders>
              <w:top w:val="nil"/>
              <w:left w:val="nil"/>
              <w:bottom w:val="single" w:sz="4" w:space="0" w:color="auto"/>
              <w:right w:val="single" w:sz="4" w:space="0" w:color="auto"/>
            </w:tcBorders>
            <w:shd w:val="clear" w:color="auto" w:fill="auto"/>
            <w:vAlign w:val="center"/>
            <w:hideMark/>
          </w:tcPr>
          <w:p w14:paraId="0D24918A" w14:textId="77777777" w:rsidR="006B1B92" w:rsidRPr="00240221" w:rsidRDefault="006B1B92" w:rsidP="000E122F">
            <w:pPr>
              <w:widowControl w:val="0"/>
              <w:ind w:left="-57" w:right="-57"/>
              <w:jc w:val="center"/>
              <w:rPr>
                <w:b/>
                <w:bCs/>
                <w:sz w:val="25"/>
                <w:szCs w:val="25"/>
                <w:lang w:val="vi-VN" w:eastAsia="vi-VN"/>
              </w:rPr>
            </w:pPr>
            <w:r w:rsidRPr="00240221">
              <w:rPr>
                <w:b/>
                <w:bCs/>
                <w:sz w:val="25"/>
                <w:szCs w:val="25"/>
                <w:lang w:val="vi-VN" w:eastAsia="vi-VN"/>
              </w:rPr>
              <w:t>T</w:t>
            </w:r>
            <w:r w:rsidRPr="00240221">
              <w:rPr>
                <w:b/>
                <w:bCs/>
                <w:sz w:val="25"/>
                <w:szCs w:val="25"/>
                <w:lang w:eastAsia="vi-VN"/>
              </w:rPr>
              <w:t>ỷ</w:t>
            </w:r>
            <w:r w:rsidRPr="00240221">
              <w:rPr>
                <w:b/>
                <w:bCs/>
                <w:sz w:val="25"/>
                <w:szCs w:val="25"/>
                <w:lang w:val="vi-VN" w:eastAsia="vi-VN"/>
              </w:rPr>
              <w:t xml:space="preserve"> lệ</w:t>
            </w:r>
            <w:r w:rsidRPr="00240221">
              <w:rPr>
                <w:b/>
                <w:bCs/>
                <w:sz w:val="25"/>
                <w:szCs w:val="25"/>
                <w:lang w:val="vi-VN" w:eastAsia="vi-VN"/>
              </w:rPr>
              <w:br/>
              <w:t>(%)</w:t>
            </w:r>
          </w:p>
        </w:tc>
        <w:tc>
          <w:tcPr>
            <w:tcW w:w="391" w:type="pct"/>
            <w:tcBorders>
              <w:top w:val="single" w:sz="4" w:space="0" w:color="auto"/>
              <w:left w:val="nil"/>
              <w:bottom w:val="single" w:sz="4" w:space="0" w:color="auto"/>
              <w:right w:val="single" w:sz="4" w:space="0" w:color="auto"/>
            </w:tcBorders>
            <w:vAlign w:val="center"/>
          </w:tcPr>
          <w:p w14:paraId="4EF01F3E" w14:textId="77777777" w:rsidR="006B1B92" w:rsidRPr="00240221" w:rsidRDefault="006B1B92" w:rsidP="000E122F">
            <w:pPr>
              <w:widowControl w:val="0"/>
              <w:ind w:left="-57" w:right="-57"/>
              <w:jc w:val="center"/>
              <w:rPr>
                <w:b/>
                <w:bCs/>
                <w:sz w:val="25"/>
                <w:szCs w:val="25"/>
                <w:lang w:eastAsia="vi-VN"/>
              </w:rPr>
            </w:pPr>
            <w:r w:rsidRPr="00240221">
              <w:rPr>
                <w:b/>
                <w:bCs/>
                <w:sz w:val="25"/>
                <w:szCs w:val="25"/>
                <w:lang w:eastAsia="vi-VN"/>
              </w:rPr>
              <w:t>Số lô</w:t>
            </w:r>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6CEB6BA2" w14:textId="77777777" w:rsidR="006B1B92" w:rsidRPr="00240221" w:rsidRDefault="006B1B92" w:rsidP="000E122F">
            <w:pPr>
              <w:widowControl w:val="0"/>
              <w:ind w:left="-57" w:right="-57"/>
              <w:jc w:val="center"/>
              <w:rPr>
                <w:b/>
                <w:bCs/>
                <w:sz w:val="25"/>
                <w:szCs w:val="25"/>
                <w:lang w:val="vi-VN" w:eastAsia="vi-VN"/>
              </w:rPr>
            </w:pPr>
            <w:r w:rsidRPr="00240221">
              <w:rPr>
                <w:b/>
                <w:bCs/>
                <w:sz w:val="25"/>
                <w:szCs w:val="25"/>
                <w:lang w:val="vi-VN" w:eastAsia="vi-VN"/>
              </w:rPr>
              <w:t>Diện tích</w:t>
            </w:r>
            <w:r w:rsidRPr="00240221">
              <w:rPr>
                <w:b/>
                <w:bCs/>
                <w:sz w:val="25"/>
                <w:szCs w:val="25"/>
                <w:lang w:val="vi-VN" w:eastAsia="vi-VN"/>
              </w:rPr>
              <w:br/>
              <w:t>(m²)</w:t>
            </w:r>
          </w:p>
        </w:tc>
        <w:tc>
          <w:tcPr>
            <w:tcW w:w="454" w:type="pct"/>
            <w:tcBorders>
              <w:top w:val="nil"/>
              <w:left w:val="nil"/>
              <w:bottom w:val="single" w:sz="4" w:space="0" w:color="auto"/>
              <w:right w:val="single" w:sz="4" w:space="0" w:color="auto"/>
            </w:tcBorders>
            <w:shd w:val="clear" w:color="auto" w:fill="auto"/>
            <w:vAlign w:val="center"/>
            <w:hideMark/>
          </w:tcPr>
          <w:p w14:paraId="1E8D0516" w14:textId="77777777" w:rsidR="006B1B92" w:rsidRPr="00240221" w:rsidRDefault="006B1B92" w:rsidP="000E122F">
            <w:pPr>
              <w:widowControl w:val="0"/>
              <w:ind w:left="-57" w:right="-57"/>
              <w:jc w:val="center"/>
              <w:rPr>
                <w:b/>
                <w:bCs/>
                <w:sz w:val="25"/>
                <w:szCs w:val="25"/>
                <w:lang w:val="vi-VN" w:eastAsia="vi-VN"/>
              </w:rPr>
            </w:pPr>
            <w:r w:rsidRPr="00240221">
              <w:rPr>
                <w:b/>
                <w:bCs/>
                <w:sz w:val="25"/>
                <w:szCs w:val="25"/>
                <w:lang w:val="vi-VN" w:eastAsia="vi-VN"/>
              </w:rPr>
              <w:t>T</w:t>
            </w:r>
            <w:r w:rsidRPr="00240221">
              <w:rPr>
                <w:b/>
                <w:bCs/>
                <w:sz w:val="25"/>
                <w:szCs w:val="25"/>
                <w:lang w:eastAsia="vi-VN"/>
              </w:rPr>
              <w:t>ỷ</w:t>
            </w:r>
            <w:r w:rsidRPr="00240221">
              <w:rPr>
                <w:b/>
                <w:bCs/>
                <w:sz w:val="25"/>
                <w:szCs w:val="25"/>
                <w:lang w:val="vi-VN" w:eastAsia="vi-VN"/>
              </w:rPr>
              <w:t xml:space="preserve"> lệ</w:t>
            </w:r>
            <w:r w:rsidRPr="00240221">
              <w:rPr>
                <w:b/>
                <w:bCs/>
                <w:sz w:val="25"/>
                <w:szCs w:val="25"/>
                <w:lang w:val="vi-VN" w:eastAsia="vi-VN"/>
              </w:rPr>
              <w:br/>
              <w:t>(%)</w:t>
            </w:r>
          </w:p>
        </w:tc>
        <w:tc>
          <w:tcPr>
            <w:tcW w:w="391" w:type="pct"/>
            <w:tcBorders>
              <w:top w:val="single" w:sz="4" w:space="0" w:color="auto"/>
              <w:left w:val="single" w:sz="4" w:space="0" w:color="auto"/>
              <w:bottom w:val="single" w:sz="4" w:space="0" w:color="auto"/>
              <w:right w:val="single" w:sz="4" w:space="0" w:color="auto"/>
            </w:tcBorders>
            <w:vAlign w:val="center"/>
          </w:tcPr>
          <w:p w14:paraId="2308F1BD" w14:textId="77777777" w:rsidR="006B1B92" w:rsidRPr="00240221" w:rsidRDefault="006B1B92" w:rsidP="000E122F">
            <w:pPr>
              <w:widowControl w:val="0"/>
              <w:ind w:left="-57" w:right="-57"/>
              <w:jc w:val="center"/>
              <w:rPr>
                <w:b/>
                <w:bCs/>
                <w:sz w:val="25"/>
                <w:szCs w:val="25"/>
                <w:lang w:eastAsia="vi-VN"/>
              </w:rPr>
            </w:pPr>
            <w:r w:rsidRPr="00240221">
              <w:rPr>
                <w:b/>
                <w:bCs/>
                <w:sz w:val="25"/>
                <w:szCs w:val="25"/>
                <w:lang w:eastAsia="vi-VN"/>
              </w:rPr>
              <w:t>Số lô</w:t>
            </w:r>
          </w:p>
        </w:tc>
        <w:tc>
          <w:tcPr>
            <w:tcW w:w="5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2EA3D9" w14:textId="77777777" w:rsidR="006B1B92" w:rsidRPr="00240221" w:rsidRDefault="006B1B92" w:rsidP="000E122F">
            <w:pPr>
              <w:widowControl w:val="0"/>
              <w:spacing w:before="40" w:after="40" w:line="320" w:lineRule="atLeast"/>
              <w:ind w:left="-57" w:right="-57"/>
              <w:rPr>
                <w:sz w:val="25"/>
                <w:szCs w:val="25"/>
                <w:lang w:val="vi-VN" w:eastAsia="vi-VN"/>
              </w:rPr>
            </w:pPr>
          </w:p>
        </w:tc>
      </w:tr>
      <w:tr w:rsidR="00240221" w:rsidRPr="00240221" w14:paraId="1DB9A93D" w14:textId="77777777" w:rsidTr="00240221">
        <w:trPr>
          <w:trHeight w:val="375"/>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37A27FA" w14:textId="77777777" w:rsidR="006B1B92" w:rsidRPr="00240221" w:rsidRDefault="006B1B92" w:rsidP="000E122F">
            <w:pPr>
              <w:widowControl w:val="0"/>
              <w:spacing w:before="40" w:after="40" w:line="320" w:lineRule="atLeast"/>
              <w:jc w:val="center"/>
              <w:rPr>
                <w:sz w:val="25"/>
                <w:szCs w:val="25"/>
                <w:lang w:eastAsia="vi-VN"/>
              </w:rPr>
            </w:pPr>
            <w:r w:rsidRPr="00240221">
              <w:rPr>
                <w:sz w:val="25"/>
                <w:szCs w:val="25"/>
                <w:lang w:eastAsia="vi-VN"/>
              </w:rPr>
              <w:t>I</w:t>
            </w:r>
          </w:p>
        </w:tc>
        <w:tc>
          <w:tcPr>
            <w:tcW w:w="1211" w:type="pct"/>
            <w:tcBorders>
              <w:top w:val="nil"/>
              <w:left w:val="nil"/>
              <w:bottom w:val="single" w:sz="4" w:space="0" w:color="auto"/>
              <w:right w:val="single" w:sz="4" w:space="0" w:color="auto"/>
            </w:tcBorders>
            <w:shd w:val="clear" w:color="auto" w:fill="auto"/>
            <w:vAlign w:val="center"/>
            <w:hideMark/>
          </w:tcPr>
          <w:p w14:paraId="505C5080" w14:textId="77777777" w:rsidR="006B1B92" w:rsidRPr="00240221" w:rsidRDefault="006B1B92" w:rsidP="00240221">
            <w:pPr>
              <w:widowControl w:val="0"/>
              <w:spacing w:before="40" w:after="40" w:line="320" w:lineRule="atLeast"/>
              <w:jc w:val="both"/>
              <w:rPr>
                <w:sz w:val="25"/>
                <w:szCs w:val="25"/>
                <w:lang w:val="vi-VN" w:eastAsia="vi-VN"/>
              </w:rPr>
            </w:pPr>
            <w:r w:rsidRPr="00240221">
              <w:rPr>
                <w:sz w:val="25"/>
                <w:szCs w:val="25"/>
                <w:lang w:val="vi-VN" w:eastAsia="vi-VN"/>
              </w:rPr>
              <w:t>Đất xây dựng nhà ở</w:t>
            </w:r>
          </w:p>
        </w:tc>
        <w:tc>
          <w:tcPr>
            <w:tcW w:w="611" w:type="pct"/>
            <w:tcBorders>
              <w:top w:val="nil"/>
              <w:left w:val="nil"/>
              <w:bottom w:val="single" w:sz="4" w:space="0" w:color="auto"/>
              <w:right w:val="single" w:sz="4" w:space="0" w:color="auto"/>
            </w:tcBorders>
            <w:shd w:val="clear" w:color="auto" w:fill="auto"/>
            <w:vAlign w:val="center"/>
            <w:hideMark/>
          </w:tcPr>
          <w:p w14:paraId="00891E90"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218.485,0</w:t>
            </w:r>
          </w:p>
        </w:tc>
        <w:tc>
          <w:tcPr>
            <w:tcW w:w="454" w:type="pct"/>
            <w:tcBorders>
              <w:top w:val="nil"/>
              <w:left w:val="nil"/>
              <w:bottom w:val="single" w:sz="4" w:space="0" w:color="auto"/>
              <w:right w:val="single" w:sz="4" w:space="0" w:color="auto"/>
            </w:tcBorders>
            <w:shd w:val="clear" w:color="auto" w:fill="auto"/>
            <w:vAlign w:val="center"/>
            <w:hideMark/>
          </w:tcPr>
          <w:p w14:paraId="2766288C"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44,0</w:t>
            </w:r>
            <w:r w:rsidRPr="00240221">
              <w:rPr>
                <w:sz w:val="25"/>
                <w:szCs w:val="25"/>
                <w:lang w:eastAsia="vi-VN"/>
              </w:rPr>
              <w:t>2</w:t>
            </w:r>
          </w:p>
        </w:tc>
        <w:tc>
          <w:tcPr>
            <w:tcW w:w="391" w:type="pct"/>
            <w:tcBorders>
              <w:top w:val="single" w:sz="4" w:space="0" w:color="auto"/>
              <w:left w:val="nil"/>
              <w:bottom w:val="single" w:sz="4" w:space="0" w:color="auto"/>
              <w:right w:val="single" w:sz="4" w:space="0" w:color="auto"/>
            </w:tcBorders>
            <w:vAlign w:val="center"/>
          </w:tcPr>
          <w:p w14:paraId="152E391D"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eastAsia="vi-VN"/>
              </w:rPr>
              <w:t>1.854</w:t>
            </w:r>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2951B9A2"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218.595,7</w:t>
            </w:r>
          </w:p>
        </w:tc>
        <w:tc>
          <w:tcPr>
            <w:tcW w:w="454" w:type="pct"/>
            <w:tcBorders>
              <w:top w:val="nil"/>
              <w:left w:val="nil"/>
              <w:bottom w:val="single" w:sz="4" w:space="0" w:color="auto"/>
              <w:right w:val="single" w:sz="4" w:space="0" w:color="auto"/>
            </w:tcBorders>
            <w:shd w:val="clear" w:color="auto" w:fill="auto"/>
            <w:vAlign w:val="center"/>
            <w:hideMark/>
          </w:tcPr>
          <w:p w14:paraId="3F4B3E80"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44,0</w:t>
            </w:r>
            <w:r w:rsidRPr="00240221">
              <w:rPr>
                <w:sz w:val="25"/>
                <w:szCs w:val="25"/>
                <w:lang w:eastAsia="vi-VN"/>
              </w:rPr>
              <w:t>5</w:t>
            </w:r>
          </w:p>
        </w:tc>
        <w:tc>
          <w:tcPr>
            <w:tcW w:w="391" w:type="pct"/>
            <w:tcBorders>
              <w:top w:val="single" w:sz="4" w:space="0" w:color="auto"/>
              <w:left w:val="nil"/>
              <w:bottom w:val="single" w:sz="4" w:space="0" w:color="auto"/>
              <w:right w:val="single" w:sz="4" w:space="0" w:color="auto"/>
            </w:tcBorders>
          </w:tcPr>
          <w:p w14:paraId="44A99100"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eastAsia="vi-VN"/>
              </w:rPr>
              <w:t>1.865</w:t>
            </w:r>
          </w:p>
        </w:tc>
        <w:tc>
          <w:tcPr>
            <w:tcW w:w="558" w:type="pct"/>
            <w:tcBorders>
              <w:top w:val="nil"/>
              <w:left w:val="single" w:sz="4" w:space="0" w:color="auto"/>
              <w:bottom w:val="single" w:sz="4" w:space="0" w:color="auto"/>
              <w:right w:val="single" w:sz="4" w:space="0" w:color="auto"/>
            </w:tcBorders>
            <w:shd w:val="clear" w:color="auto" w:fill="auto"/>
            <w:vAlign w:val="center"/>
            <w:hideMark/>
          </w:tcPr>
          <w:p w14:paraId="382C7CB9"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eastAsia="vi-VN"/>
              </w:rPr>
              <w:t>+1</w:t>
            </w:r>
            <w:r w:rsidRPr="00240221">
              <w:rPr>
                <w:sz w:val="25"/>
                <w:szCs w:val="25"/>
                <w:lang w:val="vi-VN" w:eastAsia="vi-VN"/>
              </w:rPr>
              <w:t>10,7</w:t>
            </w:r>
          </w:p>
        </w:tc>
      </w:tr>
      <w:tr w:rsidR="00240221" w:rsidRPr="00240221" w14:paraId="3AB04AAC" w14:textId="77777777" w:rsidTr="00240221">
        <w:trPr>
          <w:trHeight w:val="37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69CAC" w14:textId="77777777" w:rsidR="006B1B92" w:rsidRPr="00240221" w:rsidRDefault="006B1B92" w:rsidP="000E122F">
            <w:pPr>
              <w:widowControl w:val="0"/>
              <w:spacing w:before="40" w:after="40" w:line="320" w:lineRule="atLeast"/>
              <w:jc w:val="center"/>
              <w:rPr>
                <w:sz w:val="25"/>
                <w:szCs w:val="25"/>
                <w:lang w:eastAsia="vi-VN"/>
              </w:rPr>
            </w:pPr>
            <w:r w:rsidRPr="00240221">
              <w:rPr>
                <w:sz w:val="25"/>
                <w:szCs w:val="25"/>
                <w:lang w:eastAsia="vi-VN"/>
              </w:rPr>
              <w:t>II</w:t>
            </w:r>
          </w:p>
        </w:tc>
        <w:tc>
          <w:tcPr>
            <w:tcW w:w="1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57861" w14:textId="77777777" w:rsidR="006B1B92" w:rsidRPr="00240221" w:rsidRDefault="006B1B92" w:rsidP="00240221">
            <w:pPr>
              <w:widowControl w:val="0"/>
              <w:spacing w:before="40" w:after="40" w:line="320" w:lineRule="atLeast"/>
              <w:jc w:val="both"/>
              <w:rPr>
                <w:sz w:val="25"/>
                <w:szCs w:val="25"/>
                <w:lang w:val="vi-VN" w:eastAsia="vi-VN"/>
              </w:rPr>
            </w:pPr>
            <w:r w:rsidRPr="00240221">
              <w:rPr>
                <w:sz w:val="25"/>
                <w:szCs w:val="25"/>
                <w:lang w:val="vi-VN" w:eastAsia="vi-VN"/>
              </w:rPr>
              <w:t xml:space="preserve">Đất </w:t>
            </w:r>
            <w:r w:rsidRPr="00240221">
              <w:rPr>
                <w:sz w:val="25"/>
                <w:szCs w:val="25"/>
                <w:lang w:eastAsia="vi-VN"/>
              </w:rPr>
              <w:t xml:space="preserve">công cộng - </w:t>
            </w:r>
            <w:r w:rsidRPr="00240221">
              <w:rPr>
                <w:sz w:val="25"/>
                <w:szCs w:val="25"/>
                <w:lang w:val="vi-VN" w:eastAsia="vi-VN"/>
              </w:rPr>
              <w:t>dịch vụ đô thị</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811DC"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34.735,9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1D89F"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7,0</w:t>
            </w:r>
            <w:r w:rsidRPr="00240221">
              <w:rPr>
                <w:sz w:val="25"/>
                <w:szCs w:val="25"/>
                <w:lang w:eastAsia="vi-VN"/>
              </w:rPr>
              <w:t>0</w:t>
            </w:r>
          </w:p>
        </w:tc>
        <w:tc>
          <w:tcPr>
            <w:tcW w:w="391" w:type="pct"/>
            <w:tcBorders>
              <w:top w:val="single" w:sz="4" w:space="0" w:color="auto"/>
              <w:left w:val="single" w:sz="4" w:space="0" w:color="auto"/>
              <w:bottom w:val="single" w:sz="4" w:space="0" w:color="auto"/>
              <w:right w:val="single" w:sz="4" w:space="0" w:color="auto"/>
            </w:tcBorders>
          </w:tcPr>
          <w:p w14:paraId="79003256" w14:textId="77777777" w:rsidR="006B1B92" w:rsidRPr="00240221" w:rsidRDefault="006B1B92" w:rsidP="000E122F">
            <w:pPr>
              <w:widowControl w:val="0"/>
              <w:spacing w:before="40" w:after="40" w:line="320" w:lineRule="atLeast"/>
              <w:jc w:val="right"/>
              <w:rPr>
                <w:sz w:val="25"/>
                <w:szCs w:val="25"/>
                <w:lang w:val="vi-VN" w:eastAsia="vi-VN"/>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800A2"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34.735,9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D1633"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7,0</w:t>
            </w:r>
            <w:r w:rsidRPr="00240221">
              <w:rPr>
                <w:sz w:val="25"/>
                <w:szCs w:val="25"/>
                <w:lang w:eastAsia="vi-VN"/>
              </w:rPr>
              <w:t>0</w:t>
            </w:r>
          </w:p>
        </w:tc>
        <w:tc>
          <w:tcPr>
            <w:tcW w:w="391" w:type="pct"/>
            <w:tcBorders>
              <w:top w:val="single" w:sz="4" w:space="0" w:color="auto"/>
              <w:left w:val="single" w:sz="4" w:space="0" w:color="auto"/>
              <w:bottom w:val="single" w:sz="4" w:space="0" w:color="auto"/>
              <w:right w:val="single" w:sz="4" w:space="0" w:color="auto"/>
            </w:tcBorders>
          </w:tcPr>
          <w:p w14:paraId="37298A14" w14:textId="77777777" w:rsidR="006B1B92" w:rsidRPr="00240221" w:rsidRDefault="006B1B92" w:rsidP="000E122F">
            <w:pPr>
              <w:widowControl w:val="0"/>
              <w:spacing w:before="40" w:after="40" w:line="320" w:lineRule="atLeast"/>
              <w:jc w:val="right"/>
              <w:rPr>
                <w:sz w:val="25"/>
                <w:szCs w:val="25"/>
                <w:lang w:val="vi-VN" w:eastAsia="vi-VN"/>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2FC27"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w:t>
            </w:r>
          </w:p>
        </w:tc>
      </w:tr>
      <w:tr w:rsidR="00240221" w:rsidRPr="00240221" w14:paraId="59DE61C5" w14:textId="77777777" w:rsidTr="00240221">
        <w:trPr>
          <w:trHeight w:val="37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2D6E8C" w14:textId="77777777" w:rsidR="006B1B92" w:rsidRPr="00240221" w:rsidRDefault="006B1B92" w:rsidP="000E122F">
            <w:pPr>
              <w:widowControl w:val="0"/>
              <w:spacing w:before="40" w:after="40" w:line="320" w:lineRule="atLeast"/>
              <w:jc w:val="center"/>
              <w:rPr>
                <w:sz w:val="25"/>
                <w:szCs w:val="25"/>
                <w:lang w:eastAsia="vi-VN"/>
              </w:rPr>
            </w:pPr>
            <w:r w:rsidRPr="00240221">
              <w:rPr>
                <w:sz w:val="25"/>
                <w:szCs w:val="25"/>
                <w:lang w:eastAsia="vi-VN"/>
              </w:rPr>
              <w:t>III</w:t>
            </w:r>
          </w:p>
        </w:tc>
        <w:tc>
          <w:tcPr>
            <w:tcW w:w="1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69DF8" w14:textId="77777777" w:rsidR="006B1B92" w:rsidRPr="00240221" w:rsidRDefault="006B1B92" w:rsidP="00240221">
            <w:pPr>
              <w:widowControl w:val="0"/>
              <w:spacing w:before="40" w:after="40" w:line="320" w:lineRule="atLeast"/>
              <w:jc w:val="both"/>
              <w:rPr>
                <w:sz w:val="25"/>
                <w:szCs w:val="25"/>
                <w:lang w:val="vi-VN" w:eastAsia="vi-VN"/>
              </w:rPr>
            </w:pPr>
            <w:r w:rsidRPr="00240221">
              <w:rPr>
                <w:sz w:val="25"/>
                <w:szCs w:val="25"/>
                <w:lang w:val="vi-VN" w:eastAsia="vi-VN"/>
              </w:rPr>
              <w:t>Đất cây xanh, TDTT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6F3E9"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74.509,5</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7E9B1"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15,0</w:t>
            </w:r>
            <w:r w:rsidRPr="00240221">
              <w:rPr>
                <w:sz w:val="25"/>
                <w:szCs w:val="25"/>
                <w:lang w:eastAsia="vi-VN"/>
              </w:rPr>
              <w:t>1</w:t>
            </w:r>
          </w:p>
        </w:tc>
        <w:tc>
          <w:tcPr>
            <w:tcW w:w="391" w:type="pct"/>
            <w:tcBorders>
              <w:top w:val="single" w:sz="4" w:space="0" w:color="auto"/>
              <w:left w:val="single" w:sz="4" w:space="0" w:color="auto"/>
              <w:bottom w:val="single" w:sz="4" w:space="0" w:color="auto"/>
              <w:right w:val="single" w:sz="4" w:space="0" w:color="auto"/>
            </w:tcBorders>
          </w:tcPr>
          <w:p w14:paraId="12ED000C" w14:textId="77777777" w:rsidR="006B1B92" w:rsidRPr="00240221" w:rsidRDefault="006B1B92" w:rsidP="000E122F">
            <w:pPr>
              <w:widowControl w:val="0"/>
              <w:spacing w:before="40" w:after="40" w:line="320" w:lineRule="atLeast"/>
              <w:jc w:val="right"/>
              <w:rPr>
                <w:sz w:val="25"/>
                <w:szCs w:val="25"/>
                <w:lang w:val="vi-VN" w:eastAsia="vi-VN"/>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7908C"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74.509,5</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10992"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15,0</w:t>
            </w:r>
            <w:r w:rsidRPr="00240221">
              <w:rPr>
                <w:sz w:val="25"/>
                <w:szCs w:val="25"/>
                <w:lang w:eastAsia="vi-VN"/>
              </w:rPr>
              <w:t>1</w:t>
            </w:r>
          </w:p>
        </w:tc>
        <w:tc>
          <w:tcPr>
            <w:tcW w:w="391" w:type="pct"/>
            <w:tcBorders>
              <w:top w:val="single" w:sz="4" w:space="0" w:color="auto"/>
              <w:left w:val="single" w:sz="4" w:space="0" w:color="auto"/>
              <w:bottom w:val="single" w:sz="4" w:space="0" w:color="auto"/>
              <w:right w:val="single" w:sz="4" w:space="0" w:color="auto"/>
            </w:tcBorders>
          </w:tcPr>
          <w:p w14:paraId="6D392783" w14:textId="77777777" w:rsidR="006B1B92" w:rsidRPr="00240221" w:rsidRDefault="006B1B92" w:rsidP="000E122F">
            <w:pPr>
              <w:widowControl w:val="0"/>
              <w:spacing w:before="40" w:after="40" w:line="320" w:lineRule="atLeast"/>
              <w:jc w:val="right"/>
              <w:rPr>
                <w:sz w:val="25"/>
                <w:szCs w:val="25"/>
                <w:lang w:val="vi-VN" w:eastAsia="vi-VN"/>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DC7FF"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w:t>
            </w:r>
          </w:p>
        </w:tc>
      </w:tr>
      <w:tr w:rsidR="00240221" w:rsidRPr="00240221" w14:paraId="231589DA" w14:textId="77777777" w:rsidTr="00240221">
        <w:trPr>
          <w:trHeight w:val="37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99E21" w14:textId="77777777" w:rsidR="006B1B92" w:rsidRPr="00240221" w:rsidRDefault="006B1B92" w:rsidP="000E122F">
            <w:pPr>
              <w:widowControl w:val="0"/>
              <w:spacing w:before="40" w:after="40" w:line="320" w:lineRule="atLeast"/>
              <w:jc w:val="center"/>
              <w:rPr>
                <w:sz w:val="25"/>
                <w:szCs w:val="25"/>
                <w:lang w:eastAsia="vi-VN"/>
              </w:rPr>
            </w:pPr>
            <w:r w:rsidRPr="00240221">
              <w:rPr>
                <w:sz w:val="25"/>
                <w:szCs w:val="25"/>
                <w:lang w:eastAsia="vi-VN"/>
              </w:rPr>
              <w:t>IV</w:t>
            </w:r>
          </w:p>
        </w:tc>
        <w:tc>
          <w:tcPr>
            <w:tcW w:w="1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4307A" w14:textId="77777777" w:rsidR="006B1B92" w:rsidRPr="00240221" w:rsidRDefault="006B1B92" w:rsidP="00240221">
            <w:pPr>
              <w:widowControl w:val="0"/>
              <w:spacing w:before="40" w:after="40" w:line="320" w:lineRule="atLeast"/>
              <w:jc w:val="both"/>
              <w:rPr>
                <w:sz w:val="25"/>
                <w:szCs w:val="25"/>
                <w:lang w:val="vi-VN" w:eastAsia="vi-VN"/>
              </w:rPr>
            </w:pPr>
            <w:r w:rsidRPr="00240221">
              <w:rPr>
                <w:sz w:val="25"/>
                <w:szCs w:val="25"/>
                <w:lang w:val="vi-VN" w:eastAsia="vi-VN"/>
              </w:rPr>
              <w:t xml:space="preserve">Đất giao thông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4A605"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166.505,4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1BE4C"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33,5</w:t>
            </w:r>
            <w:r w:rsidRPr="00240221">
              <w:rPr>
                <w:sz w:val="25"/>
                <w:szCs w:val="25"/>
                <w:lang w:eastAsia="vi-VN"/>
              </w:rPr>
              <w:t>5</w:t>
            </w:r>
          </w:p>
        </w:tc>
        <w:tc>
          <w:tcPr>
            <w:tcW w:w="391" w:type="pct"/>
            <w:tcBorders>
              <w:top w:val="single" w:sz="4" w:space="0" w:color="auto"/>
              <w:left w:val="single" w:sz="4" w:space="0" w:color="auto"/>
              <w:bottom w:val="single" w:sz="4" w:space="0" w:color="auto"/>
              <w:right w:val="single" w:sz="4" w:space="0" w:color="auto"/>
            </w:tcBorders>
          </w:tcPr>
          <w:p w14:paraId="43DE3118" w14:textId="77777777" w:rsidR="006B1B92" w:rsidRPr="00240221" w:rsidRDefault="006B1B92" w:rsidP="000E122F">
            <w:pPr>
              <w:widowControl w:val="0"/>
              <w:spacing w:before="40" w:after="40" w:line="320" w:lineRule="atLeast"/>
              <w:jc w:val="right"/>
              <w:rPr>
                <w:sz w:val="25"/>
                <w:szCs w:val="25"/>
                <w:lang w:val="vi-VN" w:eastAsia="vi-VN"/>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E2F99"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166.394,7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4DE2B"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33,5</w:t>
            </w:r>
            <w:r w:rsidRPr="00240221">
              <w:rPr>
                <w:sz w:val="25"/>
                <w:szCs w:val="25"/>
                <w:lang w:eastAsia="vi-VN"/>
              </w:rPr>
              <w:t>3</w:t>
            </w:r>
          </w:p>
        </w:tc>
        <w:tc>
          <w:tcPr>
            <w:tcW w:w="391" w:type="pct"/>
            <w:tcBorders>
              <w:top w:val="single" w:sz="4" w:space="0" w:color="auto"/>
              <w:left w:val="single" w:sz="4" w:space="0" w:color="auto"/>
              <w:bottom w:val="single" w:sz="4" w:space="0" w:color="auto"/>
              <w:right w:val="single" w:sz="4" w:space="0" w:color="auto"/>
            </w:tcBorders>
          </w:tcPr>
          <w:p w14:paraId="0A0BEC72" w14:textId="77777777" w:rsidR="006B1B92" w:rsidRPr="00240221" w:rsidRDefault="006B1B92" w:rsidP="000E122F">
            <w:pPr>
              <w:widowControl w:val="0"/>
              <w:spacing w:before="40" w:after="40" w:line="320" w:lineRule="atLeast"/>
              <w:jc w:val="right"/>
              <w:rPr>
                <w:sz w:val="25"/>
                <w:szCs w:val="25"/>
                <w:lang w:val="vi-VN" w:eastAsia="vi-VN"/>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A7635"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eastAsia="vi-VN"/>
              </w:rPr>
              <w:t>-</w:t>
            </w:r>
            <w:r w:rsidRPr="00240221">
              <w:rPr>
                <w:sz w:val="25"/>
                <w:szCs w:val="25"/>
                <w:lang w:val="vi-VN" w:eastAsia="vi-VN"/>
              </w:rPr>
              <w:t>110,7</w:t>
            </w:r>
          </w:p>
        </w:tc>
      </w:tr>
      <w:tr w:rsidR="00240221" w:rsidRPr="00240221" w14:paraId="03A37220" w14:textId="77777777" w:rsidTr="00240221">
        <w:trPr>
          <w:trHeight w:val="37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62553" w14:textId="77777777" w:rsidR="006B1B92" w:rsidRPr="00240221" w:rsidRDefault="006B1B92" w:rsidP="000E122F">
            <w:pPr>
              <w:widowControl w:val="0"/>
              <w:spacing w:before="40" w:after="40" w:line="320" w:lineRule="atLeast"/>
              <w:jc w:val="center"/>
              <w:rPr>
                <w:sz w:val="25"/>
                <w:szCs w:val="25"/>
                <w:lang w:eastAsia="vi-VN"/>
              </w:rPr>
            </w:pPr>
            <w:r w:rsidRPr="00240221">
              <w:rPr>
                <w:sz w:val="25"/>
                <w:szCs w:val="25"/>
                <w:lang w:eastAsia="vi-VN"/>
              </w:rPr>
              <w:t>V</w:t>
            </w:r>
          </w:p>
        </w:tc>
        <w:tc>
          <w:tcPr>
            <w:tcW w:w="1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28C4F" w14:textId="77777777" w:rsidR="006B1B92" w:rsidRPr="00240221" w:rsidRDefault="006B1B92" w:rsidP="00240221">
            <w:pPr>
              <w:widowControl w:val="0"/>
              <w:spacing w:before="40" w:after="40" w:line="320" w:lineRule="atLeast"/>
              <w:jc w:val="both"/>
              <w:rPr>
                <w:sz w:val="25"/>
                <w:szCs w:val="25"/>
                <w:lang w:val="vi-VN" w:eastAsia="vi-VN"/>
              </w:rPr>
            </w:pPr>
            <w:r w:rsidRPr="00240221">
              <w:rPr>
                <w:sz w:val="25"/>
                <w:szCs w:val="25"/>
                <w:lang w:val="vi-VN" w:eastAsia="vi-VN"/>
              </w:rPr>
              <w:t>Đất đầu mối hạ tầng kỹ thuật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5"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2.063,0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D326C"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0,4</w:t>
            </w:r>
            <w:r w:rsidRPr="00240221">
              <w:rPr>
                <w:sz w:val="25"/>
                <w:szCs w:val="25"/>
                <w:lang w:eastAsia="vi-VN"/>
              </w:rPr>
              <w:t>1</w:t>
            </w:r>
          </w:p>
        </w:tc>
        <w:tc>
          <w:tcPr>
            <w:tcW w:w="391" w:type="pct"/>
            <w:tcBorders>
              <w:top w:val="single" w:sz="4" w:space="0" w:color="auto"/>
              <w:left w:val="single" w:sz="4" w:space="0" w:color="auto"/>
              <w:bottom w:val="single" w:sz="4" w:space="0" w:color="auto"/>
              <w:right w:val="single" w:sz="4" w:space="0" w:color="auto"/>
            </w:tcBorders>
          </w:tcPr>
          <w:p w14:paraId="5854243D" w14:textId="77777777" w:rsidR="006B1B92" w:rsidRPr="00240221" w:rsidRDefault="006B1B92" w:rsidP="000E122F">
            <w:pPr>
              <w:widowControl w:val="0"/>
              <w:spacing w:before="40" w:after="40" w:line="320" w:lineRule="atLeast"/>
              <w:jc w:val="right"/>
              <w:rPr>
                <w:sz w:val="25"/>
                <w:szCs w:val="25"/>
                <w:lang w:val="vi-VN" w:eastAsia="vi-VN"/>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F0B2F"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2.063,0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CC772" w14:textId="77777777" w:rsidR="006B1B92" w:rsidRPr="00240221" w:rsidRDefault="006B1B92" w:rsidP="000E122F">
            <w:pPr>
              <w:widowControl w:val="0"/>
              <w:spacing w:before="40" w:after="40" w:line="320" w:lineRule="atLeast"/>
              <w:jc w:val="right"/>
              <w:rPr>
                <w:sz w:val="25"/>
                <w:szCs w:val="25"/>
                <w:lang w:eastAsia="vi-VN"/>
              </w:rPr>
            </w:pPr>
            <w:r w:rsidRPr="00240221">
              <w:rPr>
                <w:sz w:val="25"/>
                <w:szCs w:val="25"/>
                <w:lang w:val="vi-VN" w:eastAsia="vi-VN"/>
              </w:rPr>
              <w:t>0,4</w:t>
            </w:r>
            <w:r w:rsidRPr="00240221">
              <w:rPr>
                <w:sz w:val="25"/>
                <w:szCs w:val="25"/>
                <w:lang w:eastAsia="vi-VN"/>
              </w:rPr>
              <w:t>1</w:t>
            </w:r>
          </w:p>
        </w:tc>
        <w:tc>
          <w:tcPr>
            <w:tcW w:w="391" w:type="pct"/>
            <w:tcBorders>
              <w:top w:val="single" w:sz="4" w:space="0" w:color="auto"/>
              <w:left w:val="single" w:sz="4" w:space="0" w:color="auto"/>
              <w:bottom w:val="single" w:sz="4" w:space="0" w:color="auto"/>
              <w:right w:val="single" w:sz="4" w:space="0" w:color="auto"/>
            </w:tcBorders>
          </w:tcPr>
          <w:p w14:paraId="475C0AD3" w14:textId="77777777" w:rsidR="006B1B92" w:rsidRPr="00240221" w:rsidRDefault="006B1B92" w:rsidP="000E122F">
            <w:pPr>
              <w:widowControl w:val="0"/>
              <w:spacing w:before="40" w:after="40" w:line="320" w:lineRule="atLeast"/>
              <w:jc w:val="right"/>
              <w:rPr>
                <w:sz w:val="25"/>
                <w:szCs w:val="25"/>
                <w:lang w:val="vi-VN" w:eastAsia="vi-VN"/>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81326" w14:textId="77777777" w:rsidR="006B1B92" w:rsidRPr="00240221" w:rsidRDefault="006B1B92" w:rsidP="000E122F">
            <w:pPr>
              <w:widowControl w:val="0"/>
              <w:spacing w:before="40" w:after="40" w:line="320" w:lineRule="atLeast"/>
              <w:jc w:val="right"/>
              <w:rPr>
                <w:sz w:val="25"/>
                <w:szCs w:val="25"/>
                <w:lang w:val="vi-VN" w:eastAsia="vi-VN"/>
              </w:rPr>
            </w:pPr>
            <w:r w:rsidRPr="00240221">
              <w:rPr>
                <w:sz w:val="25"/>
                <w:szCs w:val="25"/>
                <w:lang w:val="vi-VN" w:eastAsia="vi-VN"/>
              </w:rPr>
              <w:t>-</w:t>
            </w:r>
          </w:p>
        </w:tc>
      </w:tr>
      <w:tr w:rsidR="00240221" w:rsidRPr="00240221" w14:paraId="7682F8C3" w14:textId="77777777" w:rsidTr="00240221">
        <w:trPr>
          <w:trHeight w:val="37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05DD685" w14:textId="77777777" w:rsidR="006B1B92" w:rsidRPr="00240221" w:rsidRDefault="006B1B92" w:rsidP="000E122F">
            <w:pPr>
              <w:widowControl w:val="0"/>
              <w:spacing w:before="40" w:after="40" w:line="320" w:lineRule="atLeast"/>
              <w:jc w:val="center"/>
              <w:rPr>
                <w:b/>
                <w:bCs/>
                <w:sz w:val="25"/>
                <w:szCs w:val="25"/>
                <w:lang w:val="vi-VN" w:eastAsia="vi-VN"/>
              </w:rPr>
            </w:pPr>
          </w:p>
        </w:tc>
        <w:tc>
          <w:tcPr>
            <w:tcW w:w="1211" w:type="pct"/>
            <w:tcBorders>
              <w:top w:val="single" w:sz="4" w:space="0" w:color="auto"/>
              <w:left w:val="single" w:sz="4" w:space="0" w:color="auto"/>
              <w:bottom w:val="single" w:sz="4" w:space="0" w:color="auto"/>
              <w:right w:val="single" w:sz="4" w:space="0" w:color="auto"/>
            </w:tcBorders>
            <w:shd w:val="clear" w:color="auto" w:fill="auto"/>
            <w:vAlign w:val="center"/>
          </w:tcPr>
          <w:p w14:paraId="1AFB7C31" w14:textId="77777777" w:rsidR="006B1B92" w:rsidRPr="00240221" w:rsidRDefault="006B1B92" w:rsidP="000E122F">
            <w:pPr>
              <w:widowControl w:val="0"/>
              <w:spacing w:before="40" w:after="40" w:line="320" w:lineRule="atLeast"/>
              <w:jc w:val="center"/>
              <w:rPr>
                <w:b/>
                <w:bCs/>
                <w:sz w:val="25"/>
                <w:szCs w:val="25"/>
                <w:lang w:val="vi-VN" w:eastAsia="vi-VN"/>
              </w:rPr>
            </w:pPr>
            <w:r w:rsidRPr="00240221">
              <w:rPr>
                <w:b/>
                <w:bCs/>
                <w:sz w:val="25"/>
                <w:szCs w:val="25"/>
                <w:lang w:val="vi-VN" w:eastAsia="vi-VN"/>
              </w:rPr>
              <w:t>Tổng cộng</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CD82F67" w14:textId="77777777" w:rsidR="006B1B92" w:rsidRPr="00240221" w:rsidRDefault="006B1B92" w:rsidP="000E122F">
            <w:pPr>
              <w:widowControl w:val="0"/>
              <w:spacing w:before="40" w:after="40" w:line="320" w:lineRule="atLeast"/>
              <w:jc w:val="right"/>
              <w:rPr>
                <w:b/>
                <w:bCs/>
                <w:sz w:val="25"/>
                <w:szCs w:val="25"/>
                <w:lang w:val="vi-VN" w:eastAsia="vi-VN"/>
              </w:rPr>
            </w:pPr>
            <w:r w:rsidRPr="00240221">
              <w:rPr>
                <w:b/>
                <w:bCs/>
                <w:sz w:val="25"/>
                <w:szCs w:val="25"/>
                <w:lang w:val="vi-VN" w:eastAsia="vi-VN"/>
              </w:rPr>
              <w:t>496.298,8</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C9F66D2" w14:textId="77777777" w:rsidR="006B1B92" w:rsidRPr="00240221" w:rsidRDefault="006B1B92" w:rsidP="000E122F">
            <w:pPr>
              <w:widowControl w:val="0"/>
              <w:spacing w:before="40" w:after="40" w:line="320" w:lineRule="atLeast"/>
              <w:jc w:val="right"/>
              <w:rPr>
                <w:b/>
                <w:bCs/>
                <w:sz w:val="25"/>
                <w:szCs w:val="25"/>
                <w:lang w:eastAsia="vi-VN"/>
              </w:rPr>
            </w:pPr>
            <w:r w:rsidRPr="00240221">
              <w:rPr>
                <w:b/>
                <w:bCs/>
                <w:sz w:val="25"/>
                <w:szCs w:val="25"/>
                <w:lang w:eastAsia="vi-VN"/>
              </w:rPr>
              <w:t>100,00</w:t>
            </w:r>
          </w:p>
        </w:tc>
        <w:tc>
          <w:tcPr>
            <w:tcW w:w="391" w:type="pct"/>
            <w:tcBorders>
              <w:top w:val="single" w:sz="4" w:space="0" w:color="auto"/>
              <w:left w:val="single" w:sz="4" w:space="0" w:color="auto"/>
              <w:bottom w:val="single" w:sz="4" w:space="0" w:color="auto"/>
              <w:right w:val="single" w:sz="4" w:space="0" w:color="auto"/>
            </w:tcBorders>
          </w:tcPr>
          <w:p w14:paraId="1A386F6B" w14:textId="77777777" w:rsidR="006B1B92" w:rsidRPr="00240221" w:rsidRDefault="006B1B92" w:rsidP="000E122F">
            <w:pPr>
              <w:widowControl w:val="0"/>
              <w:spacing w:before="40" w:after="40" w:line="320" w:lineRule="atLeast"/>
              <w:jc w:val="right"/>
              <w:rPr>
                <w:b/>
                <w:bCs/>
                <w:sz w:val="25"/>
                <w:szCs w:val="25"/>
                <w:lang w:val="vi-VN" w:eastAsia="vi-VN"/>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2170948" w14:textId="77777777" w:rsidR="006B1B92" w:rsidRPr="00240221" w:rsidRDefault="006B1B92" w:rsidP="000E122F">
            <w:pPr>
              <w:widowControl w:val="0"/>
              <w:spacing w:before="40" w:after="40" w:line="320" w:lineRule="atLeast"/>
              <w:jc w:val="right"/>
              <w:rPr>
                <w:b/>
                <w:bCs/>
                <w:sz w:val="25"/>
                <w:szCs w:val="25"/>
                <w:lang w:val="vi-VN" w:eastAsia="vi-VN"/>
              </w:rPr>
            </w:pPr>
            <w:r w:rsidRPr="00240221">
              <w:rPr>
                <w:b/>
                <w:bCs/>
                <w:sz w:val="25"/>
                <w:szCs w:val="25"/>
                <w:lang w:val="vi-VN" w:eastAsia="vi-VN"/>
              </w:rPr>
              <w:t>496.298,8</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8CBC57B" w14:textId="77777777" w:rsidR="006B1B92" w:rsidRPr="00240221" w:rsidRDefault="006B1B92" w:rsidP="000E122F">
            <w:pPr>
              <w:widowControl w:val="0"/>
              <w:spacing w:before="40" w:after="40" w:line="320" w:lineRule="atLeast"/>
              <w:jc w:val="right"/>
              <w:rPr>
                <w:b/>
                <w:bCs/>
                <w:sz w:val="25"/>
                <w:szCs w:val="25"/>
                <w:lang w:eastAsia="vi-VN"/>
              </w:rPr>
            </w:pPr>
            <w:r w:rsidRPr="00240221">
              <w:rPr>
                <w:b/>
                <w:bCs/>
                <w:sz w:val="25"/>
                <w:szCs w:val="25"/>
                <w:lang w:val="vi-VN" w:eastAsia="vi-VN"/>
              </w:rPr>
              <w:t>100,0</w:t>
            </w:r>
            <w:r w:rsidRPr="00240221">
              <w:rPr>
                <w:b/>
                <w:bCs/>
                <w:sz w:val="25"/>
                <w:szCs w:val="25"/>
                <w:lang w:eastAsia="vi-VN"/>
              </w:rPr>
              <w:t>0</w:t>
            </w:r>
          </w:p>
        </w:tc>
        <w:tc>
          <w:tcPr>
            <w:tcW w:w="391" w:type="pct"/>
            <w:tcBorders>
              <w:top w:val="single" w:sz="4" w:space="0" w:color="auto"/>
              <w:left w:val="single" w:sz="4" w:space="0" w:color="auto"/>
              <w:bottom w:val="single" w:sz="4" w:space="0" w:color="auto"/>
              <w:right w:val="single" w:sz="4" w:space="0" w:color="auto"/>
            </w:tcBorders>
          </w:tcPr>
          <w:p w14:paraId="4C63CD9C" w14:textId="77777777" w:rsidR="006B1B92" w:rsidRPr="00240221" w:rsidRDefault="006B1B92" w:rsidP="000E122F">
            <w:pPr>
              <w:widowControl w:val="0"/>
              <w:spacing w:before="40" w:after="40" w:line="320" w:lineRule="atLeast"/>
              <w:jc w:val="right"/>
              <w:rPr>
                <w:b/>
                <w:bCs/>
                <w:sz w:val="25"/>
                <w:szCs w:val="25"/>
                <w:lang w:val="vi-VN" w:eastAsia="vi-VN"/>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2BD3C6EB" w14:textId="77777777" w:rsidR="006B1B92" w:rsidRPr="00240221" w:rsidRDefault="006B1B92" w:rsidP="000E122F">
            <w:pPr>
              <w:widowControl w:val="0"/>
              <w:spacing w:before="40" w:after="40" w:line="320" w:lineRule="atLeast"/>
              <w:jc w:val="right"/>
              <w:rPr>
                <w:b/>
                <w:bCs/>
                <w:sz w:val="25"/>
                <w:szCs w:val="25"/>
                <w:lang w:eastAsia="vi-VN"/>
              </w:rPr>
            </w:pPr>
            <w:r w:rsidRPr="00240221">
              <w:rPr>
                <w:b/>
                <w:bCs/>
                <w:sz w:val="25"/>
                <w:szCs w:val="25"/>
                <w:lang w:eastAsia="vi-VN"/>
              </w:rPr>
              <w:t>-</w:t>
            </w:r>
          </w:p>
        </w:tc>
      </w:tr>
    </w:tbl>
    <w:p w14:paraId="7A7899A5" w14:textId="14513F17" w:rsidR="006B1B92" w:rsidRPr="00240221" w:rsidRDefault="006B1B92" w:rsidP="00A54A05">
      <w:pPr>
        <w:spacing w:after="120"/>
        <w:ind w:firstLine="567"/>
        <w:jc w:val="both"/>
        <w:rPr>
          <w:sz w:val="28"/>
          <w:szCs w:val="28"/>
        </w:rPr>
      </w:pPr>
      <w:r w:rsidRPr="00240221">
        <w:rPr>
          <w:sz w:val="28"/>
          <w:szCs w:val="28"/>
        </w:rPr>
        <w:lastRenderedPageBreak/>
        <w:t xml:space="preserve">(Bản đồ trích vẽ quy hoạch sử dụng đất phạm vi điều chỉnh do </w:t>
      </w:r>
      <w:r w:rsidR="00B42103" w:rsidRPr="00240221">
        <w:rPr>
          <w:sz w:val="28"/>
          <w:szCs w:val="28"/>
        </w:rPr>
        <w:t>Công ty Cổ phần Kinh doanh nhà Đồng Nai</w:t>
      </w:r>
      <w:r w:rsidRPr="00240221">
        <w:rPr>
          <w:sz w:val="28"/>
          <w:szCs w:val="28"/>
        </w:rPr>
        <w:t xml:space="preserve"> lập, được Sở Xây dựng thẩm định tại Tờ trình số </w:t>
      </w:r>
      <w:r w:rsidR="00B42103" w:rsidRPr="00240221">
        <w:rPr>
          <w:sz w:val="28"/>
          <w:szCs w:val="28"/>
        </w:rPr>
        <w:t>56</w:t>
      </w:r>
      <w:r w:rsidRPr="00240221">
        <w:rPr>
          <w:sz w:val="28"/>
          <w:szCs w:val="28"/>
        </w:rPr>
        <w:t xml:space="preserve">/TTr-SXD ngày </w:t>
      </w:r>
      <w:r w:rsidR="00B42103" w:rsidRPr="00240221">
        <w:rPr>
          <w:sz w:val="28"/>
          <w:szCs w:val="28"/>
        </w:rPr>
        <w:t>15</w:t>
      </w:r>
      <w:r w:rsidRPr="00240221">
        <w:rPr>
          <w:sz w:val="28"/>
          <w:szCs w:val="28"/>
        </w:rPr>
        <w:t xml:space="preserve"> tháng </w:t>
      </w:r>
      <w:r w:rsidR="00B42103" w:rsidRPr="00240221">
        <w:rPr>
          <w:sz w:val="28"/>
          <w:szCs w:val="28"/>
        </w:rPr>
        <w:t>3</w:t>
      </w:r>
      <w:r w:rsidRPr="00240221">
        <w:rPr>
          <w:sz w:val="28"/>
          <w:szCs w:val="28"/>
        </w:rPr>
        <w:t xml:space="preserve"> năm 2021 đính kèm).</w:t>
      </w:r>
    </w:p>
    <w:p w14:paraId="160F7EFD" w14:textId="28F05CE2" w:rsidR="00A54A05" w:rsidRPr="00240221" w:rsidRDefault="00931541" w:rsidP="00A54A05">
      <w:pPr>
        <w:tabs>
          <w:tab w:val="left" w:pos="720"/>
          <w:tab w:val="left" w:pos="2880"/>
        </w:tabs>
        <w:spacing w:after="120"/>
        <w:ind w:firstLine="567"/>
        <w:jc w:val="both"/>
        <w:rPr>
          <w:sz w:val="28"/>
          <w:szCs w:val="28"/>
        </w:rPr>
      </w:pPr>
      <w:r w:rsidRPr="00240221">
        <w:rPr>
          <w:b/>
          <w:sz w:val="28"/>
          <w:szCs w:val="28"/>
        </w:rPr>
        <w:t>Điều 2.</w:t>
      </w:r>
      <w:r w:rsidRPr="00240221">
        <w:rPr>
          <w:sz w:val="28"/>
          <w:szCs w:val="28"/>
        </w:rPr>
        <w:t xml:space="preserve"> </w:t>
      </w:r>
      <w:r w:rsidR="00B42103" w:rsidRPr="00240221">
        <w:rPr>
          <w:sz w:val="28"/>
          <w:szCs w:val="28"/>
        </w:rPr>
        <w:t>Căn cứ nội dung điều chỉnh tại Điều 1 Quyết định này, Công ty Cổ phần Kinh doanh nhà Đồng Nai có trách nhiệm phối hợp UBND thành phố Biên Hòa, UBND phường Bửu Long tổ chức công bố công khai cho Nhân dân và các đơn vị kinh tế xã hội có liên quan về nội dung điều chỉnh quy hoạch, cùng nghiêm chỉnh thực hiện theo quy hoạch đã phê duyệt</w:t>
      </w:r>
      <w:r w:rsidR="00A54A05" w:rsidRPr="00240221">
        <w:rPr>
          <w:sz w:val="28"/>
          <w:szCs w:val="28"/>
        </w:rPr>
        <w:t>;</w:t>
      </w:r>
      <w:r w:rsidR="00B42103" w:rsidRPr="00240221">
        <w:rPr>
          <w:sz w:val="28"/>
          <w:szCs w:val="28"/>
        </w:rPr>
        <w:t xml:space="preserve"> </w:t>
      </w:r>
      <w:r w:rsidR="00A54A05" w:rsidRPr="00240221">
        <w:rPr>
          <w:sz w:val="28"/>
          <w:szCs w:val="28"/>
        </w:rPr>
        <w:t>đồng thời làm rõ các vấn đề liên quan phát sinh từ việc điều chỉnh trong quá trình triển khai các bước tiếp theo của dự án.</w:t>
      </w:r>
    </w:p>
    <w:p w14:paraId="62485CC3" w14:textId="0BF31141" w:rsidR="00931541" w:rsidRPr="00240221" w:rsidRDefault="00A54A05" w:rsidP="00A54A05">
      <w:pPr>
        <w:tabs>
          <w:tab w:val="left" w:pos="720"/>
          <w:tab w:val="left" w:pos="2880"/>
        </w:tabs>
        <w:spacing w:after="120"/>
        <w:ind w:firstLine="567"/>
        <w:jc w:val="both"/>
        <w:rPr>
          <w:sz w:val="28"/>
          <w:szCs w:val="28"/>
        </w:rPr>
      </w:pPr>
      <w:r w:rsidRPr="00240221">
        <w:rPr>
          <w:b/>
          <w:bCs/>
          <w:sz w:val="28"/>
          <w:szCs w:val="28"/>
        </w:rPr>
        <w:t>Điều 3.</w:t>
      </w:r>
      <w:r w:rsidRPr="00240221">
        <w:rPr>
          <w:sz w:val="28"/>
          <w:szCs w:val="28"/>
        </w:rPr>
        <w:t xml:space="preserve"> </w:t>
      </w:r>
      <w:r w:rsidR="00931541" w:rsidRPr="00240221">
        <w:rPr>
          <w:sz w:val="28"/>
          <w:szCs w:val="28"/>
        </w:rPr>
        <w:t>Quyết định này có hiệu lực thi hành kể từ ngày ký.</w:t>
      </w:r>
    </w:p>
    <w:p w14:paraId="0D1B9FCD" w14:textId="379EBE40" w:rsidR="00931541" w:rsidRPr="00240221" w:rsidRDefault="00931541" w:rsidP="00A54A05">
      <w:pPr>
        <w:widowControl w:val="0"/>
        <w:tabs>
          <w:tab w:val="left" w:pos="720"/>
          <w:tab w:val="left" w:pos="2880"/>
        </w:tabs>
        <w:spacing w:after="120"/>
        <w:ind w:firstLine="567"/>
        <w:jc w:val="both"/>
        <w:rPr>
          <w:sz w:val="28"/>
          <w:szCs w:val="28"/>
        </w:rPr>
      </w:pPr>
      <w:r w:rsidRPr="00240221">
        <w:rPr>
          <w:sz w:val="28"/>
          <w:szCs w:val="28"/>
        </w:rPr>
        <w:t xml:space="preserve">Các nội dung khác không liên quan đến việc điều chỉnh </w:t>
      </w:r>
      <w:r w:rsidR="00A54A05" w:rsidRPr="00240221">
        <w:rPr>
          <w:sz w:val="28"/>
          <w:szCs w:val="28"/>
        </w:rPr>
        <w:t>tại Điều 1 Quyết định này</w:t>
      </w:r>
      <w:r w:rsidRPr="00240221">
        <w:rPr>
          <w:sz w:val="28"/>
          <w:szCs w:val="28"/>
        </w:rPr>
        <w:t xml:space="preserve"> vẫn giữ nguyên </w:t>
      </w:r>
      <w:r w:rsidR="00A54A05" w:rsidRPr="00240221">
        <w:rPr>
          <w:sz w:val="28"/>
          <w:szCs w:val="28"/>
        </w:rPr>
        <w:t xml:space="preserve">giá trị pháp lý </w:t>
      </w:r>
      <w:r w:rsidRPr="00240221">
        <w:rPr>
          <w:sz w:val="28"/>
          <w:szCs w:val="28"/>
        </w:rPr>
        <w:t xml:space="preserve">theo </w:t>
      </w:r>
      <w:r w:rsidR="00276FE5" w:rsidRPr="00240221">
        <w:rPr>
          <w:sz w:val="28"/>
          <w:szCs w:val="28"/>
        </w:rPr>
        <w:t xml:space="preserve">Quyết định số 3285/QĐ-UBND ngày 18 tháng 9 năm 2017 của UBND tỉnh Đồng Nai về phê duyệt quy hoạch chi tiết </w:t>
      </w:r>
      <w:r w:rsidR="008E66BA" w:rsidRPr="00240221">
        <w:rPr>
          <w:sz w:val="28"/>
          <w:szCs w:val="28"/>
        </w:rPr>
        <w:t xml:space="preserve">xây dựng </w:t>
      </w:r>
      <w:r w:rsidR="008123B2" w:rsidRPr="00240221">
        <w:rPr>
          <w:sz w:val="28"/>
          <w:szCs w:val="28"/>
        </w:rPr>
        <w:t xml:space="preserve">tỷ lệ </w:t>
      </w:r>
      <w:r w:rsidR="00276FE5" w:rsidRPr="00240221">
        <w:rPr>
          <w:sz w:val="28"/>
          <w:szCs w:val="28"/>
        </w:rPr>
        <w:t>1/500 Khu dân cư với các dịch vụ thương mại, nhà ở cao cấp và tái định cư, phường Bửu Long, thành phố Biên Hòa, tỉnh Đồng Nai.</w:t>
      </w:r>
    </w:p>
    <w:p w14:paraId="77CE31B8" w14:textId="5644D8D2" w:rsidR="00931541" w:rsidRPr="00240221" w:rsidRDefault="00931541" w:rsidP="00A54A05">
      <w:pPr>
        <w:widowControl w:val="0"/>
        <w:tabs>
          <w:tab w:val="left" w:pos="720"/>
          <w:tab w:val="left" w:pos="2880"/>
        </w:tabs>
        <w:spacing w:after="240"/>
        <w:ind w:firstLine="567"/>
        <w:jc w:val="both"/>
        <w:rPr>
          <w:sz w:val="28"/>
          <w:szCs w:val="28"/>
        </w:rPr>
      </w:pPr>
      <w:r w:rsidRPr="00240221">
        <w:rPr>
          <w:sz w:val="28"/>
          <w:szCs w:val="28"/>
        </w:rPr>
        <w:t xml:space="preserve"> </w:t>
      </w:r>
      <w:r w:rsidRPr="00240221">
        <w:rPr>
          <w:b/>
          <w:sz w:val="28"/>
          <w:szCs w:val="28"/>
        </w:rPr>
        <w:t>Điều 4.</w:t>
      </w:r>
      <w:r w:rsidRPr="00240221">
        <w:rPr>
          <w:sz w:val="28"/>
          <w:szCs w:val="28"/>
        </w:rPr>
        <w:t xml:space="preserve"> Chánh Văn phòng UBND tỉnh, Giám đốc các Sở: Xây dựng, Kế hoạch và Đầu tư, Tài nguyên và Môi trường, Tài chính, Giao thông vận tải, </w:t>
      </w:r>
      <w:r w:rsidR="00A54A05" w:rsidRPr="00240221">
        <w:rPr>
          <w:sz w:val="28"/>
          <w:szCs w:val="28"/>
        </w:rPr>
        <w:t xml:space="preserve">Công Thương, </w:t>
      </w:r>
      <w:r w:rsidR="00276FE5" w:rsidRPr="00240221">
        <w:rPr>
          <w:sz w:val="28"/>
          <w:szCs w:val="28"/>
        </w:rPr>
        <w:t>Giáo dục và Đào tạo</w:t>
      </w:r>
      <w:r w:rsidR="00A54A05" w:rsidRPr="00240221">
        <w:rPr>
          <w:sz w:val="28"/>
          <w:szCs w:val="28"/>
        </w:rPr>
        <w:t>;</w:t>
      </w:r>
      <w:r w:rsidRPr="00240221">
        <w:rPr>
          <w:sz w:val="28"/>
          <w:szCs w:val="28"/>
        </w:rPr>
        <w:t xml:space="preserve"> Giám đốc Công an tỉnh</w:t>
      </w:r>
      <w:r w:rsidR="00A54A05" w:rsidRPr="00240221">
        <w:rPr>
          <w:sz w:val="28"/>
          <w:szCs w:val="28"/>
        </w:rPr>
        <w:t>;</w:t>
      </w:r>
      <w:r w:rsidRPr="00240221">
        <w:rPr>
          <w:sz w:val="28"/>
          <w:szCs w:val="28"/>
        </w:rPr>
        <w:t xml:space="preserve"> Cục trưởng Cục Thuế</w:t>
      </w:r>
      <w:r w:rsidR="00A54A05" w:rsidRPr="00240221">
        <w:rPr>
          <w:sz w:val="28"/>
          <w:szCs w:val="28"/>
        </w:rPr>
        <w:t>;</w:t>
      </w:r>
      <w:r w:rsidRPr="00240221">
        <w:rPr>
          <w:sz w:val="28"/>
          <w:szCs w:val="28"/>
        </w:rPr>
        <w:t xml:space="preserve"> Chủ tịch UBND </w:t>
      </w:r>
      <w:r w:rsidR="00276FE5" w:rsidRPr="00240221">
        <w:rPr>
          <w:sz w:val="28"/>
          <w:szCs w:val="28"/>
        </w:rPr>
        <w:t>thành phố Biên Hoà</w:t>
      </w:r>
      <w:r w:rsidRPr="00240221">
        <w:rPr>
          <w:sz w:val="28"/>
          <w:szCs w:val="28"/>
        </w:rPr>
        <w:t xml:space="preserve">, Chủ tịch UBND </w:t>
      </w:r>
      <w:r w:rsidR="00276FE5" w:rsidRPr="00240221">
        <w:rPr>
          <w:sz w:val="28"/>
          <w:szCs w:val="28"/>
        </w:rPr>
        <w:t>phường Bửu Long</w:t>
      </w:r>
      <w:r w:rsidR="00A54A05" w:rsidRPr="00240221">
        <w:rPr>
          <w:sz w:val="28"/>
          <w:szCs w:val="28"/>
        </w:rPr>
        <w:t>;</w:t>
      </w:r>
      <w:r w:rsidRPr="00240221">
        <w:rPr>
          <w:sz w:val="28"/>
          <w:szCs w:val="28"/>
        </w:rPr>
        <w:t xml:space="preserve"> Giám đốc </w:t>
      </w:r>
      <w:r w:rsidR="00276FE5" w:rsidRPr="00240221">
        <w:rPr>
          <w:sz w:val="28"/>
          <w:szCs w:val="28"/>
        </w:rPr>
        <w:t xml:space="preserve">Công ty </w:t>
      </w:r>
      <w:r w:rsidR="00A54A05" w:rsidRPr="00240221">
        <w:rPr>
          <w:sz w:val="28"/>
          <w:szCs w:val="28"/>
        </w:rPr>
        <w:t>C</w:t>
      </w:r>
      <w:r w:rsidR="00276FE5" w:rsidRPr="00240221">
        <w:rPr>
          <w:sz w:val="28"/>
          <w:szCs w:val="28"/>
        </w:rPr>
        <w:t>ổ phần Kinh doanh nhà Đồng Nai</w:t>
      </w:r>
      <w:r w:rsidR="00A54A05" w:rsidRPr="00240221">
        <w:rPr>
          <w:sz w:val="28"/>
          <w:szCs w:val="28"/>
        </w:rPr>
        <w:t>;</w:t>
      </w:r>
      <w:r w:rsidRPr="00240221">
        <w:rPr>
          <w:sz w:val="28"/>
          <w:szCs w:val="28"/>
        </w:rPr>
        <w:t xml:space="preserve"> Thủ trưởng các đơn vị và các cá nhân có liên quan chịu trách nhiệm thi hành Quyết định này./.</w:t>
      </w:r>
    </w:p>
    <w:tbl>
      <w:tblPr>
        <w:tblW w:w="0" w:type="auto"/>
        <w:tblLook w:val="01E0" w:firstRow="1" w:lastRow="1" w:firstColumn="1" w:lastColumn="1" w:noHBand="0" w:noVBand="0"/>
      </w:tblPr>
      <w:tblGrid>
        <w:gridCol w:w="4352"/>
        <w:gridCol w:w="4720"/>
      </w:tblGrid>
      <w:tr w:rsidR="0009274B" w:rsidRPr="00240221" w14:paraId="7E95A142" w14:textId="77777777" w:rsidTr="00931541">
        <w:trPr>
          <w:trHeight w:val="2925"/>
        </w:trPr>
        <w:tc>
          <w:tcPr>
            <w:tcW w:w="4500" w:type="dxa"/>
            <w:shd w:val="clear" w:color="auto" w:fill="auto"/>
          </w:tcPr>
          <w:p w14:paraId="0B336C69" w14:textId="77777777" w:rsidR="00931541" w:rsidRPr="00240221" w:rsidRDefault="00931541" w:rsidP="00157898">
            <w:pPr>
              <w:tabs>
                <w:tab w:val="left" w:pos="720"/>
                <w:tab w:val="left" w:pos="2880"/>
              </w:tabs>
              <w:spacing w:before="120"/>
              <w:rPr>
                <w:sz w:val="27"/>
                <w:szCs w:val="27"/>
              </w:rPr>
            </w:pPr>
            <w:bookmarkStart w:id="2" w:name="_GoBack"/>
            <w:bookmarkEnd w:id="2"/>
          </w:p>
        </w:tc>
        <w:tc>
          <w:tcPr>
            <w:tcW w:w="4851" w:type="dxa"/>
            <w:shd w:val="clear" w:color="auto" w:fill="auto"/>
          </w:tcPr>
          <w:p w14:paraId="4ED29D3C" w14:textId="77777777" w:rsidR="00931541" w:rsidRPr="00240221" w:rsidRDefault="00931541" w:rsidP="00157898">
            <w:pPr>
              <w:ind w:left="34"/>
              <w:jc w:val="center"/>
              <w:rPr>
                <w:b/>
                <w:sz w:val="28"/>
                <w:szCs w:val="28"/>
                <w:lang w:val="de-DE"/>
              </w:rPr>
            </w:pPr>
            <w:r w:rsidRPr="00240221">
              <w:rPr>
                <w:b/>
                <w:sz w:val="28"/>
                <w:szCs w:val="28"/>
                <w:lang w:val="de-DE"/>
              </w:rPr>
              <w:t xml:space="preserve">TM. ỦY BAN NHÂN DÂN </w:t>
            </w:r>
          </w:p>
          <w:p w14:paraId="00E6DD45" w14:textId="77777777" w:rsidR="00931541" w:rsidRPr="00240221" w:rsidRDefault="00931541" w:rsidP="00157898">
            <w:pPr>
              <w:ind w:left="34"/>
              <w:jc w:val="center"/>
              <w:rPr>
                <w:b/>
                <w:sz w:val="28"/>
                <w:szCs w:val="28"/>
                <w:lang w:val="de-DE"/>
              </w:rPr>
            </w:pPr>
            <w:r w:rsidRPr="00240221">
              <w:rPr>
                <w:b/>
                <w:sz w:val="28"/>
                <w:szCs w:val="28"/>
                <w:lang w:val="de-DE"/>
              </w:rPr>
              <w:t>CHỦ TỊCH</w:t>
            </w:r>
          </w:p>
          <w:p w14:paraId="33C344B5" w14:textId="77777777" w:rsidR="00931541" w:rsidRPr="00240221" w:rsidRDefault="00931541" w:rsidP="00157898">
            <w:pPr>
              <w:rPr>
                <w:sz w:val="28"/>
                <w:szCs w:val="28"/>
              </w:rPr>
            </w:pPr>
          </w:p>
          <w:p w14:paraId="652FA6C6" w14:textId="77777777" w:rsidR="00931541" w:rsidRPr="00240221" w:rsidRDefault="00931541" w:rsidP="00157898">
            <w:pPr>
              <w:rPr>
                <w:sz w:val="28"/>
                <w:szCs w:val="28"/>
              </w:rPr>
            </w:pPr>
          </w:p>
          <w:p w14:paraId="701DE928" w14:textId="77777777" w:rsidR="00931541" w:rsidRPr="00240221" w:rsidRDefault="00931541" w:rsidP="00157898">
            <w:pPr>
              <w:rPr>
                <w:sz w:val="28"/>
                <w:szCs w:val="28"/>
              </w:rPr>
            </w:pPr>
          </w:p>
          <w:p w14:paraId="0C07296A" w14:textId="77777777" w:rsidR="009C11D9" w:rsidRPr="00240221" w:rsidRDefault="009C11D9" w:rsidP="00157898">
            <w:pPr>
              <w:rPr>
                <w:sz w:val="28"/>
                <w:szCs w:val="28"/>
              </w:rPr>
            </w:pPr>
          </w:p>
          <w:p w14:paraId="4686A95A" w14:textId="77777777" w:rsidR="00931541" w:rsidRPr="00240221" w:rsidRDefault="00931541" w:rsidP="00157898">
            <w:pPr>
              <w:rPr>
                <w:sz w:val="28"/>
                <w:szCs w:val="28"/>
              </w:rPr>
            </w:pPr>
          </w:p>
          <w:p w14:paraId="371BCB6C" w14:textId="77777777" w:rsidR="00931541" w:rsidRPr="00240221" w:rsidRDefault="00931541" w:rsidP="00157898">
            <w:pPr>
              <w:rPr>
                <w:sz w:val="28"/>
                <w:szCs w:val="28"/>
              </w:rPr>
            </w:pPr>
          </w:p>
          <w:p w14:paraId="4057AD06" w14:textId="77777777" w:rsidR="00931541" w:rsidRPr="00240221" w:rsidRDefault="00931541" w:rsidP="00157898">
            <w:pPr>
              <w:jc w:val="center"/>
              <w:rPr>
                <w:b/>
                <w:sz w:val="27"/>
                <w:szCs w:val="27"/>
              </w:rPr>
            </w:pPr>
            <w:r w:rsidRPr="00240221">
              <w:rPr>
                <w:b/>
                <w:sz w:val="28"/>
                <w:szCs w:val="28"/>
              </w:rPr>
              <w:t>Cao Tiến Dũng</w:t>
            </w:r>
          </w:p>
        </w:tc>
      </w:tr>
    </w:tbl>
    <w:p w14:paraId="4FB3CC55" w14:textId="77777777" w:rsidR="00522CF9" w:rsidRPr="00240221" w:rsidRDefault="00522CF9"/>
    <w:sectPr w:rsidR="00522CF9" w:rsidRPr="00240221" w:rsidSect="00E62E54">
      <w:headerReference w:type="default" r:id="rId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8AE92" w14:textId="77777777" w:rsidR="00601C3B" w:rsidRDefault="00601C3B" w:rsidP="000E17E9">
      <w:r>
        <w:separator/>
      </w:r>
    </w:p>
  </w:endnote>
  <w:endnote w:type="continuationSeparator" w:id="0">
    <w:p w14:paraId="5DE402EC" w14:textId="77777777" w:rsidR="00601C3B" w:rsidRDefault="00601C3B" w:rsidP="000E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4071E" w14:textId="77777777" w:rsidR="00601C3B" w:rsidRDefault="00601C3B" w:rsidP="000E17E9">
      <w:r>
        <w:separator/>
      </w:r>
    </w:p>
  </w:footnote>
  <w:footnote w:type="continuationSeparator" w:id="0">
    <w:p w14:paraId="240A4A77" w14:textId="77777777" w:rsidR="00601C3B" w:rsidRDefault="00601C3B" w:rsidP="000E17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14635"/>
      <w:docPartObj>
        <w:docPartGallery w:val="Page Numbers (Top of Page)"/>
        <w:docPartUnique/>
      </w:docPartObj>
    </w:sdtPr>
    <w:sdtEndPr>
      <w:rPr>
        <w:noProof/>
        <w:sz w:val="26"/>
        <w:szCs w:val="26"/>
      </w:rPr>
    </w:sdtEndPr>
    <w:sdtContent>
      <w:p w14:paraId="5119CCC7" w14:textId="3823BB45" w:rsidR="000E17E9" w:rsidRPr="004351DA" w:rsidRDefault="000E17E9">
        <w:pPr>
          <w:pStyle w:val="Header"/>
          <w:jc w:val="center"/>
          <w:rPr>
            <w:sz w:val="26"/>
            <w:szCs w:val="26"/>
          </w:rPr>
        </w:pPr>
        <w:r w:rsidRPr="004351DA">
          <w:rPr>
            <w:sz w:val="26"/>
            <w:szCs w:val="26"/>
          </w:rPr>
          <w:fldChar w:fldCharType="begin"/>
        </w:r>
        <w:r w:rsidRPr="004351DA">
          <w:rPr>
            <w:sz w:val="26"/>
            <w:szCs w:val="26"/>
          </w:rPr>
          <w:instrText xml:space="preserve"> PAGE   \* MERGEFORMAT </w:instrText>
        </w:r>
        <w:r w:rsidRPr="004351DA">
          <w:rPr>
            <w:sz w:val="26"/>
            <w:szCs w:val="26"/>
          </w:rPr>
          <w:fldChar w:fldCharType="separate"/>
        </w:r>
        <w:r w:rsidR="0009274B">
          <w:rPr>
            <w:noProof/>
            <w:sz w:val="26"/>
            <w:szCs w:val="26"/>
          </w:rPr>
          <w:t>3</w:t>
        </w:r>
        <w:r w:rsidRPr="004351DA">
          <w:rPr>
            <w:noProof/>
            <w:sz w:val="26"/>
            <w:szCs w:val="26"/>
          </w:rPr>
          <w:fldChar w:fldCharType="end"/>
        </w:r>
      </w:p>
    </w:sdtContent>
  </w:sdt>
  <w:p w14:paraId="6456EDC6" w14:textId="77777777" w:rsidR="000E17E9" w:rsidRDefault="000E1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41"/>
    <w:rsid w:val="0009274B"/>
    <w:rsid w:val="000E17E9"/>
    <w:rsid w:val="00186B67"/>
    <w:rsid w:val="00240221"/>
    <w:rsid w:val="002722E8"/>
    <w:rsid w:val="00276FE5"/>
    <w:rsid w:val="00281126"/>
    <w:rsid w:val="00291F36"/>
    <w:rsid w:val="00322A9A"/>
    <w:rsid w:val="00366A76"/>
    <w:rsid w:val="004351DA"/>
    <w:rsid w:val="00522CF9"/>
    <w:rsid w:val="00552CFF"/>
    <w:rsid w:val="005C2E31"/>
    <w:rsid w:val="00601C3B"/>
    <w:rsid w:val="006447CF"/>
    <w:rsid w:val="006B1B92"/>
    <w:rsid w:val="006E33FF"/>
    <w:rsid w:val="00710BD6"/>
    <w:rsid w:val="007971DC"/>
    <w:rsid w:val="008123B2"/>
    <w:rsid w:val="00824D30"/>
    <w:rsid w:val="008E66BA"/>
    <w:rsid w:val="00931541"/>
    <w:rsid w:val="00971F8A"/>
    <w:rsid w:val="009C11D9"/>
    <w:rsid w:val="00A23FCA"/>
    <w:rsid w:val="00A54A05"/>
    <w:rsid w:val="00B42103"/>
    <w:rsid w:val="00B56555"/>
    <w:rsid w:val="00CA02E0"/>
    <w:rsid w:val="00CD59C9"/>
    <w:rsid w:val="00D45755"/>
    <w:rsid w:val="00D47B07"/>
    <w:rsid w:val="00D553B8"/>
    <w:rsid w:val="00E62E54"/>
    <w:rsid w:val="00EA333C"/>
    <w:rsid w:val="00F117CA"/>
    <w:rsid w:val="00F3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C9F6AA"/>
  <w15:docId w15:val="{C6440DE7-7CD2-4D97-B22A-FF3FD645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7E9"/>
    <w:rPr>
      <w:rFonts w:ascii="Segoe UI" w:eastAsia="Times New Roman" w:hAnsi="Segoe UI" w:cs="Segoe UI"/>
      <w:sz w:val="18"/>
      <w:szCs w:val="18"/>
    </w:rPr>
  </w:style>
  <w:style w:type="paragraph" w:styleId="Header">
    <w:name w:val="header"/>
    <w:basedOn w:val="Normal"/>
    <w:link w:val="HeaderChar"/>
    <w:uiPriority w:val="99"/>
    <w:unhideWhenUsed/>
    <w:rsid w:val="000E17E9"/>
    <w:pPr>
      <w:tabs>
        <w:tab w:val="center" w:pos="4680"/>
        <w:tab w:val="right" w:pos="9360"/>
      </w:tabs>
    </w:pPr>
  </w:style>
  <w:style w:type="character" w:customStyle="1" w:styleId="HeaderChar">
    <w:name w:val="Header Char"/>
    <w:basedOn w:val="DefaultParagraphFont"/>
    <w:link w:val="Header"/>
    <w:uiPriority w:val="99"/>
    <w:rsid w:val="000E17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7E9"/>
    <w:pPr>
      <w:tabs>
        <w:tab w:val="center" w:pos="4680"/>
        <w:tab w:val="right" w:pos="9360"/>
      </w:tabs>
    </w:pPr>
  </w:style>
  <w:style w:type="character" w:customStyle="1" w:styleId="FooterChar">
    <w:name w:val="Footer Char"/>
    <w:basedOn w:val="DefaultParagraphFont"/>
    <w:link w:val="Footer"/>
    <w:uiPriority w:val="99"/>
    <w:rsid w:val="000E17E9"/>
    <w:rPr>
      <w:rFonts w:ascii="Times New Roman" w:eastAsia="Times New Roman" w:hAnsi="Times New Roman" w:cs="Times New Roman"/>
      <w:sz w:val="24"/>
      <w:szCs w:val="24"/>
    </w:rPr>
  </w:style>
  <w:style w:type="paragraph" w:styleId="ListParagraph">
    <w:name w:val="List Paragraph"/>
    <w:basedOn w:val="Normal"/>
    <w:uiPriority w:val="34"/>
    <w:qFormat/>
    <w:rsid w:val="00276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4CA27-5157-4942-95C6-9D7AFE3BC176}"/>
</file>

<file path=customXml/itemProps2.xml><?xml version="1.0" encoding="utf-8"?>
<ds:datastoreItem xmlns:ds="http://schemas.openxmlformats.org/officeDocument/2006/customXml" ds:itemID="{AB7DD931-E6E0-4B26-B398-9310A0E3C9B2}"/>
</file>

<file path=customXml/itemProps3.xml><?xml version="1.0" encoding="utf-8"?>
<ds:datastoreItem xmlns:ds="http://schemas.openxmlformats.org/officeDocument/2006/customXml" ds:itemID="{E5CC579F-80C8-4B87-ADD4-37A5E00B455D}"/>
</file>

<file path=docProps/app.xml><?xml version="1.0" encoding="utf-8"?>
<Properties xmlns="http://schemas.openxmlformats.org/officeDocument/2006/extended-properties" xmlns:vt="http://schemas.openxmlformats.org/officeDocument/2006/docPropsVTypes">
  <Template>Normal</Template>
  <TotalTime>319</TotalTime>
  <Pages>1</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Chu Dang Phu</cp:lastModifiedBy>
  <cp:revision>7</cp:revision>
  <cp:lastPrinted>2021-05-07T11:07:00Z</cp:lastPrinted>
  <dcterms:created xsi:type="dcterms:W3CDTF">2021-04-29T10:29:00Z</dcterms:created>
  <dcterms:modified xsi:type="dcterms:W3CDTF">2021-05-21T02:03:00Z</dcterms:modified>
</cp:coreProperties>
</file>