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07D84" w:rsidRPr="00607D84" w14:paraId="4C6413BB" w14:textId="77777777" w:rsidTr="00E669B0">
        <w:trPr>
          <w:trHeight w:val="1021"/>
        </w:trPr>
        <w:tc>
          <w:tcPr>
            <w:tcW w:w="1544" w:type="pct"/>
            <w:hideMark/>
          </w:tcPr>
          <w:p w14:paraId="63A1223A" w14:textId="77777777" w:rsidR="00607D84" w:rsidRPr="00607D84" w:rsidRDefault="00607D84" w:rsidP="00607D84">
            <w:pPr>
              <w:jc w:val="center"/>
              <w:rPr>
                <w:rFonts w:ascii="Times New Roman" w:eastAsia="PMingLiU" w:hAnsi="Times New Roman"/>
                <w:szCs w:val="26"/>
                <w:highlight w:val="white"/>
              </w:rPr>
            </w:pPr>
            <w:r w:rsidRPr="00607D84">
              <w:rPr>
                <w:rFonts w:ascii="Times New Roman" w:eastAsia="PMingLiU" w:hAnsi="Times New Roman"/>
                <w:szCs w:val="26"/>
                <w:highlight w:val="white"/>
              </w:rPr>
              <w:t>ỦY BAN NHÂN DÂN</w:t>
            </w:r>
          </w:p>
          <w:p w14:paraId="37AAEC1A" w14:textId="25A9B861" w:rsidR="00607D84" w:rsidRPr="00607D84" w:rsidRDefault="00607D84" w:rsidP="00607D84">
            <w:pPr>
              <w:jc w:val="center"/>
              <w:rPr>
                <w:rFonts w:ascii="Times New Roman" w:eastAsia="PMingLiU" w:hAnsi="Times New Roman"/>
                <w:szCs w:val="26"/>
                <w:highlight w:val="white"/>
              </w:rPr>
            </w:pPr>
            <w:r>
              <w:rPr>
                <w:rFonts w:ascii="Times New Roman" w:eastAsia="Arial" w:hAnsi="Times New Roman"/>
                <w:b w:val="0"/>
                <w:noProof/>
                <w:sz w:val="28"/>
                <w:szCs w:val="22"/>
              </w:rPr>
              <mc:AlternateContent>
                <mc:Choice Requires="wps">
                  <w:drawing>
                    <wp:anchor distT="4294967247" distB="4294967247" distL="114300" distR="114300" simplePos="0" relativeHeight="251662336" behindDoc="0" locked="0" layoutInCell="1" allowOverlap="1" wp14:anchorId="2A214278" wp14:editId="3B28C210">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607D84">
              <w:rPr>
                <w:rFonts w:ascii="Times New Roman" w:eastAsia="PMingLiU" w:hAnsi="Times New Roman"/>
                <w:szCs w:val="26"/>
                <w:highlight w:val="white"/>
              </w:rPr>
              <w:t>TỈNH ĐỒNG NAI</w:t>
            </w:r>
          </w:p>
        </w:tc>
        <w:tc>
          <w:tcPr>
            <w:tcW w:w="515" w:type="pct"/>
          </w:tcPr>
          <w:p w14:paraId="333083E7" w14:textId="77777777" w:rsidR="00607D84" w:rsidRPr="00607D84" w:rsidRDefault="00607D84" w:rsidP="00607D84">
            <w:pPr>
              <w:jc w:val="center"/>
              <w:rPr>
                <w:rFonts w:ascii="Times New Roman" w:eastAsia="PMingLiU" w:hAnsi="Times New Roman"/>
                <w:szCs w:val="26"/>
                <w:highlight w:val="white"/>
              </w:rPr>
            </w:pPr>
          </w:p>
          <w:p w14:paraId="67410251" w14:textId="77777777" w:rsidR="00607D84" w:rsidRPr="00607D84" w:rsidRDefault="00607D84" w:rsidP="00607D84">
            <w:pPr>
              <w:jc w:val="center"/>
              <w:rPr>
                <w:rFonts w:ascii="Times New Roman" w:eastAsia="PMingLiU" w:hAnsi="Times New Roman"/>
                <w:b w:val="0"/>
                <w:sz w:val="28"/>
                <w:szCs w:val="28"/>
                <w:highlight w:val="white"/>
              </w:rPr>
            </w:pPr>
          </w:p>
        </w:tc>
        <w:tc>
          <w:tcPr>
            <w:tcW w:w="2941" w:type="pct"/>
            <w:hideMark/>
          </w:tcPr>
          <w:p w14:paraId="4402CF9E" w14:textId="77777777" w:rsidR="00607D84" w:rsidRPr="00607D84" w:rsidRDefault="00607D84" w:rsidP="00607D84">
            <w:pPr>
              <w:jc w:val="center"/>
              <w:rPr>
                <w:rFonts w:ascii="Times New Roman" w:eastAsia="PMingLiU" w:hAnsi="Times New Roman"/>
                <w:szCs w:val="26"/>
                <w:highlight w:val="white"/>
              </w:rPr>
            </w:pPr>
            <w:r w:rsidRPr="00607D84">
              <w:rPr>
                <w:rFonts w:ascii="Times New Roman" w:eastAsia="PMingLiU" w:hAnsi="Times New Roman"/>
                <w:szCs w:val="26"/>
                <w:highlight w:val="white"/>
              </w:rPr>
              <w:t>CỘNG HÒA XÃ HỘI CHỦ NGHĨA VIỆT NAM</w:t>
            </w:r>
          </w:p>
          <w:p w14:paraId="3AE3B358" w14:textId="46969871" w:rsidR="00607D84" w:rsidRPr="00607D84" w:rsidRDefault="00607D84" w:rsidP="00607D84">
            <w:pPr>
              <w:jc w:val="center"/>
              <w:rPr>
                <w:rFonts w:ascii="Times New Roman" w:eastAsia="PMingLiU" w:hAnsi="Times New Roman"/>
                <w:b w:val="0"/>
                <w:sz w:val="28"/>
                <w:szCs w:val="28"/>
                <w:highlight w:val="white"/>
              </w:rPr>
            </w:pPr>
            <w:r>
              <w:rPr>
                <w:rFonts w:ascii="Times New Roman" w:eastAsia="Arial" w:hAnsi="Times New Roman"/>
                <w:b w:val="0"/>
                <w:noProof/>
                <w:sz w:val="28"/>
                <w:szCs w:val="22"/>
              </w:rPr>
              <mc:AlternateContent>
                <mc:Choice Requires="wps">
                  <w:drawing>
                    <wp:anchor distT="4294967247" distB="4294967247" distL="114300" distR="114300" simplePos="0" relativeHeight="251663360" behindDoc="0" locked="0" layoutInCell="1" allowOverlap="1" wp14:anchorId="58FFAD1D" wp14:editId="064600BA">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07D84">
              <w:rPr>
                <w:rFonts w:ascii="Times New Roman" w:eastAsia="PMingLiU" w:hAnsi="Times New Roman"/>
                <w:sz w:val="28"/>
                <w:szCs w:val="28"/>
                <w:highlight w:val="white"/>
              </w:rPr>
              <w:t>Độc lập - Tự do - Hạnh phúc</w:t>
            </w:r>
          </w:p>
        </w:tc>
      </w:tr>
      <w:tr w:rsidR="00607D84" w:rsidRPr="00607D84" w14:paraId="2CAA2016" w14:textId="77777777" w:rsidTr="00E669B0">
        <w:trPr>
          <w:trHeight w:val="20"/>
        </w:trPr>
        <w:tc>
          <w:tcPr>
            <w:tcW w:w="1544" w:type="pct"/>
            <w:hideMark/>
          </w:tcPr>
          <w:p w14:paraId="3655C1D4" w14:textId="1BA016EE" w:rsidR="00607D84" w:rsidRPr="00607D84" w:rsidRDefault="00607D84" w:rsidP="00607D84">
            <w:pPr>
              <w:jc w:val="center"/>
              <w:rPr>
                <w:rFonts w:ascii="Times New Roman" w:eastAsia="PMingLiU" w:hAnsi="Times New Roman"/>
                <w:szCs w:val="26"/>
                <w:highlight w:val="white"/>
              </w:rPr>
            </w:pPr>
            <w:r w:rsidRPr="00607D84">
              <w:rPr>
                <w:rFonts w:ascii="Times New Roman" w:eastAsia="PMingLiU" w:hAnsi="Times New Roman"/>
                <w:b w:val="0"/>
                <w:szCs w:val="26"/>
                <w:highlight w:val="white"/>
              </w:rPr>
              <w:t>Số</w:t>
            </w:r>
            <w:r>
              <w:rPr>
                <w:rFonts w:ascii="Times New Roman" w:eastAsia="PMingLiU" w:hAnsi="Times New Roman"/>
                <w:b w:val="0"/>
                <w:szCs w:val="26"/>
                <w:highlight w:val="white"/>
              </w:rPr>
              <w:t>: 2588</w:t>
            </w:r>
            <w:r w:rsidRPr="00607D84">
              <w:rPr>
                <w:rFonts w:ascii="Times New Roman" w:eastAsia="PMingLiU" w:hAnsi="Times New Roman"/>
                <w:b w:val="0"/>
                <w:szCs w:val="26"/>
                <w:highlight w:val="white"/>
              </w:rPr>
              <w:t>/QĐ-UBND</w:t>
            </w:r>
          </w:p>
        </w:tc>
        <w:tc>
          <w:tcPr>
            <w:tcW w:w="515" w:type="pct"/>
          </w:tcPr>
          <w:p w14:paraId="12F9B424" w14:textId="77777777" w:rsidR="00607D84" w:rsidRPr="00607D84" w:rsidRDefault="00607D84" w:rsidP="00607D84">
            <w:pPr>
              <w:jc w:val="center"/>
              <w:rPr>
                <w:rFonts w:ascii="Times New Roman" w:eastAsia="PMingLiU" w:hAnsi="Times New Roman"/>
                <w:szCs w:val="26"/>
                <w:highlight w:val="white"/>
              </w:rPr>
            </w:pPr>
          </w:p>
        </w:tc>
        <w:tc>
          <w:tcPr>
            <w:tcW w:w="2941" w:type="pct"/>
            <w:hideMark/>
          </w:tcPr>
          <w:p w14:paraId="10807F8E" w14:textId="74FAAACC" w:rsidR="00607D84" w:rsidRPr="00607D84" w:rsidRDefault="00607D84" w:rsidP="00541D84">
            <w:pPr>
              <w:jc w:val="center"/>
              <w:rPr>
                <w:rFonts w:ascii="Times New Roman" w:eastAsia="PMingLiU" w:hAnsi="Times New Roman"/>
                <w:szCs w:val="26"/>
                <w:highlight w:val="white"/>
              </w:rPr>
            </w:pPr>
            <w:r w:rsidRPr="00607D84">
              <w:rPr>
                <w:rFonts w:ascii="Times New Roman" w:eastAsia="PMingLiU" w:hAnsi="Times New Roman"/>
                <w:b w:val="0"/>
                <w:i/>
                <w:sz w:val="28"/>
                <w:szCs w:val="28"/>
                <w:highlight w:val="white"/>
              </w:rPr>
              <w:t xml:space="preserve">Đồng Nai, ngày </w:t>
            </w:r>
            <w:r w:rsidR="00541D84">
              <w:rPr>
                <w:rFonts w:ascii="Times New Roman" w:eastAsia="PMingLiU" w:hAnsi="Times New Roman"/>
                <w:b w:val="0"/>
                <w:i/>
                <w:sz w:val="28"/>
                <w:szCs w:val="28"/>
                <w:highlight w:val="white"/>
              </w:rPr>
              <w:t>30</w:t>
            </w:r>
            <w:r w:rsidRPr="00607D84">
              <w:rPr>
                <w:rFonts w:ascii="Times New Roman" w:eastAsia="PMingLiU" w:hAnsi="Times New Roman"/>
                <w:b w:val="0"/>
                <w:i/>
                <w:sz w:val="28"/>
                <w:szCs w:val="28"/>
                <w:highlight w:val="white"/>
              </w:rPr>
              <w:t xml:space="preserve"> tháng 8 năm 2024</w:t>
            </w:r>
          </w:p>
        </w:tc>
      </w:tr>
    </w:tbl>
    <w:p w14:paraId="6E589C4B" w14:textId="77777777" w:rsidR="00607D84" w:rsidRDefault="00607D84" w:rsidP="00607D84">
      <w:pPr>
        <w:contextualSpacing/>
        <w:jc w:val="center"/>
        <w:rPr>
          <w:rFonts w:ascii="Times New Roman" w:hAnsi="Times New Roman"/>
          <w:sz w:val="28"/>
          <w:szCs w:val="28"/>
        </w:rPr>
      </w:pPr>
    </w:p>
    <w:p w14:paraId="5EF84AB9" w14:textId="1456264D" w:rsidR="005450DB" w:rsidRPr="00607D84" w:rsidRDefault="005450DB" w:rsidP="00607D84">
      <w:pPr>
        <w:contextualSpacing/>
        <w:jc w:val="center"/>
        <w:rPr>
          <w:rFonts w:ascii="Times New Roman" w:hAnsi="Times New Roman"/>
          <w:sz w:val="28"/>
          <w:szCs w:val="28"/>
        </w:rPr>
      </w:pPr>
      <w:r w:rsidRPr="00607D84">
        <w:rPr>
          <w:rFonts w:ascii="Times New Roman" w:hAnsi="Times New Roman"/>
          <w:sz w:val="28"/>
          <w:szCs w:val="28"/>
        </w:rPr>
        <w:t>QUYẾT ĐỊNH</w:t>
      </w:r>
    </w:p>
    <w:p w14:paraId="63C9C5C2" w14:textId="77777777" w:rsidR="000361EB" w:rsidRDefault="00EF1198" w:rsidP="00607D84">
      <w:pPr>
        <w:contextualSpacing/>
        <w:jc w:val="center"/>
        <w:rPr>
          <w:rFonts w:ascii="Times New Roman" w:hAnsi="Times New Roman"/>
          <w:sz w:val="28"/>
          <w:szCs w:val="28"/>
        </w:rPr>
      </w:pPr>
      <w:r w:rsidRPr="00607D84">
        <w:rPr>
          <w:rFonts w:ascii="Times New Roman" w:hAnsi="Times New Roman"/>
          <w:sz w:val="28"/>
          <w:szCs w:val="28"/>
        </w:rPr>
        <w:t xml:space="preserve">Về việc </w:t>
      </w:r>
      <w:r w:rsidR="00F825B3" w:rsidRPr="00607D84">
        <w:rPr>
          <w:rFonts w:ascii="Times New Roman" w:hAnsi="Times New Roman"/>
          <w:sz w:val="28"/>
          <w:szCs w:val="28"/>
        </w:rPr>
        <w:t xml:space="preserve">phê duyệt </w:t>
      </w:r>
      <w:r w:rsidR="00336466">
        <w:rPr>
          <w:rFonts w:ascii="Times New Roman" w:hAnsi="Times New Roman"/>
          <w:sz w:val="28"/>
          <w:szCs w:val="28"/>
        </w:rPr>
        <w:t>đ</w:t>
      </w:r>
      <w:r w:rsidR="00962085" w:rsidRPr="00607D84">
        <w:rPr>
          <w:rFonts w:ascii="Times New Roman" w:hAnsi="Times New Roman"/>
          <w:sz w:val="28"/>
          <w:szCs w:val="28"/>
        </w:rPr>
        <w:t>ồ án</w:t>
      </w:r>
      <w:r w:rsidR="00F825B3" w:rsidRPr="00607D84">
        <w:rPr>
          <w:rFonts w:ascii="Times New Roman" w:hAnsi="Times New Roman"/>
          <w:sz w:val="28"/>
          <w:szCs w:val="28"/>
        </w:rPr>
        <w:t xml:space="preserve"> quy hoạch chi tiết đô thị tỷ lệ 1/500 Trung tâm </w:t>
      </w:r>
    </w:p>
    <w:p w14:paraId="0E25DB19" w14:textId="4EB48961" w:rsidR="00EF1198" w:rsidRPr="00607D84" w:rsidRDefault="00F825B3" w:rsidP="00607D84">
      <w:pPr>
        <w:contextualSpacing/>
        <w:jc w:val="center"/>
        <w:rPr>
          <w:rFonts w:ascii="Times New Roman" w:hAnsi="Times New Roman"/>
          <w:sz w:val="28"/>
          <w:szCs w:val="28"/>
        </w:rPr>
      </w:pPr>
      <w:bookmarkStart w:id="0" w:name="_GoBack"/>
      <w:bookmarkEnd w:id="0"/>
      <w:r w:rsidRPr="00607D84">
        <w:rPr>
          <w:rFonts w:ascii="Times New Roman" w:hAnsi="Times New Roman"/>
          <w:sz w:val="28"/>
          <w:szCs w:val="28"/>
        </w:rPr>
        <w:t>thương mại tại phường Hiệp Hòa, thành phố Biên Hòa, tỉnh Đồng Nai</w:t>
      </w:r>
    </w:p>
    <w:p w14:paraId="0C51BCF1" w14:textId="0AAFC363" w:rsidR="003C7879" w:rsidRPr="00607D84" w:rsidRDefault="00947B65" w:rsidP="00607D84">
      <w:pPr>
        <w:contextualSpacing/>
        <w:jc w:val="center"/>
        <w:rPr>
          <w:rFonts w:ascii="Times New Roman" w:hAnsi="Times New Roman"/>
          <w:sz w:val="28"/>
          <w:szCs w:val="28"/>
        </w:rPr>
      </w:pPr>
      <w:r w:rsidRPr="00607D8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3E758BA" wp14:editId="6D0FB300">
                <wp:simplePos x="0" y="0"/>
                <wp:positionH relativeFrom="column">
                  <wp:posOffset>2093966</wp:posOffset>
                </wp:positionH>
                <wp:positionV relativeFrom="paragraph">
                  <wp:posOffset>57150</wp:posOffset>
                </wp:positionV>
                <wp:extent cx="1595887"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1EBBB0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9pt,4.5pt" to="290.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" strokecolor="black [3040]"/>
            </w:pict>
          </mc:Fallback>
        </mc:AlternateContent>
      </w:r>
    </w:p>
    <w:p w14:paraId="36CA2738" w14:textId="5D0D8F23" w:rsidR="003C7879" w:rsidRPr="00607D84" w:rsidRDefault="00687A04" w:rsidP="00607D84">
      <w:pPr>
        <w:contextualSpacing/>
        <w:jc w:val="center"/>
        <w:rPr>
          <w:rFonts w:ascii="Times New Roman" w:hAnsi="Times New Roman"/>
          <w:sz w:val="28"/>
          <w:szCs w:val="28"/>
        </w:rPr>
      </w:pPr>
      <w:r w:rsidRPr="00607D84">
        <w:rPr>
          <w:rFonts w:ascii="Times New Roman" w:hAnsi="Times New Roman"/>
          <w:sz w:val="28"/>
          <w:szCs w:val="28"/>
        </w:rPr>
        <w:t xml:space="preserve">ỦY BAN NHÂN DÂN TỈNH ĐỒNG </w:t>
      </w:r>
      <w:r w:rsidR="00DF1EBF" w:rsidRPr="00607D84">
        <w:rPr>
          <w:rFonts w:ascii="Times New Roman" w:hAnsi="Times New Roman"/>
          <w:sz w:val="28"/>
          <w:szCs w:val="28"/>
        </w:rPr>
        <w:t>NAI</w:t>
      </w:r>
    </w:p>
    <w:p w14:paraId="28916CB9" w14:textId="77777777"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Căn cứ Luật Tổ chức chính quyền địa phương ngày 19 tháng 6 năm 2015;</w:t>
      </w:r>
    </w:p>
    <w:p w14:paraId="6E04B8DD" w14:textId="390E6635"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 xml:space="preserve">Căn cứ Luật </w:t>
      </w:r>
      <w:r w:rsidR="00580CDA">
        <w:rPr>
          <w:rFonts w:ascii="Times New Roman" w:hAnsi="Times New Roman"/>
          <w:b w:val="0"/>
          <w:i/>
          <w:sz w:val="28"/>
          <w:szCs w:val="28"/>
        </w:rPr>
        <w:t>s</w:t>
      </w:r>
      <w:r w:rsidRPr="00607D84">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4634F750" w14:textId="77777777"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Căn cứ Luật Quy hoạch đô thị ngày 17 tháng 6 năm 2009;</w:t>
      </w:r>
    </w:p>
    <w:p w14:paraId="790089CE" w14:textId="0D4AED50"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 xml:space="preserve">Căn cứ Luật </w:t>
      </w:r>
      <w:r w:rsidR="00580CDA">
        <w:rPr>
          <w:rFonts w:ascii="Times New Roman" w:hAnsi="Times New Roman"/>
          <w:b w:val="0"/>
          <w:i/>
          <w:sz w:val="28"/>
          <w:szCs w:val="28"/>
        </w:rPr>
        <w:t>s</w:t>
      </w:r>
      <w:r w:rsidRPr="00607D84">
        <w:rPr>
          <w:rFonts w:ascii="Times New Roman" w:hAnsi="Times New Roman"/>
          <w:b w:val="0"/>
          <w:i/>
          <w:sz w:val="28"/>
          <w:szCs w:val="28"/>
        </w:rPr>
        <w:t xml:space="preserve">ửa đổi, bổ sung một số điều của 37 </w:t>
      </w:r>
      <w:r w:rsidR="00336466">
        <w:rPr>
          <w:rFonts w:ascii="Times New Roman" w:hAnsi="Times New Roman"/>
          <w:b w:val="0"/>
          <w:i/>
          <w:sz w:val="28"/>
          <w:szCs w:val="28"/>
        </w:rPr>
        <w:t>L</w:t>
      </w:r>
      <w:r w:rsidRPr="00607D84">
        <w:rPr>
          <w:rFonts w:ascii="Times New Roman" w:hAnsi="Times New Roman"/>
          <w:b w:val="0"/>
          <w:i/>
          <w:sz w:val="28"/>
          <w:szCs w:val="28"/>
        </w:rPr>
        <w:t>uật có liên quan đến quy hoạch ngày 20 tháng 11 năm 2018;</w:t>
      </w:r>
    </w:p>
    <w:p w14:paraId="24B3AA8F" w14:textId="77777777"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1BA2FA35" w14:textId="33B585E6"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 xml:space="preserve">Căn cứ Nghị định số 72/2019/NĐ-CP ngày 30 tháng 8 năm 2019 của Chính phủ về </w:t>
      </w:r>
      <w:r w:rsidR="00336466">
        <w:rPr>
          <w:rFonts w:ascii="Times New Roman" w:hAnsi="Times New Roman"/>
          <w:b w:val="0"/>
          <w:i/>
          <w:sz w:val="28"/>
          <w:szCs w:val="28"/>
        </w:rPr>
        <w:t>s</w:t>
      </w:r>
      <w:r w:rsidRPr="00607D84">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 Nghị định số 44/2015/ NĐ-CP ngày 06 tháng 5 năm 2015 quy định chi tiết một số nội dung về quy hoạch xây dựng;</w:t>
      </w:r>
    </w:p>
    <w:p w14:paraId="566576F4" w14:textId="5517DBC1"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 xml:space="preserve">Căn cứ Nghị định số 35/2023/NĐ-CP ngày 20 tháng 6 năm 2023 của Chính phủ </w:t>
      </w:r>
      <w:r w:rsidR="00336466">
        <w:rPr>
          <w:rFonts w:ascii="Times New Roman" w:hAnsi="Times New Roman"/>
          <w:b w:val="0"/>
          <w:i/>
          <w:sz w:val="28"/>
          <w:szCs w:val="28"/>
        </w:rPr>
        <w:t>s</w:t>
      </w:r>
      <w:r w:rsidRPr="00607D84">
        <w:rPr>
          <w:rFonts w:ascii="Times New Roman" w:hAnsi="Times New Roman"/>
          <w:b w:val="0"/>
          <w:i/>
          <w:sz w:val="28"/>
          <w:szCs w:val="28"/>
        </w:rPr>
        <w:t>ửa đổi bổ sung một số điều của các Nghị định thuộc lĩnh vực quản lý nhà nước của Bộ Xây dựng;</w:t>
      </w:r>
    </w:p>
    <w:p w14:paraId="0D915539" w14:textId="77777777" w:rsidR="009F7D91"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14:paraId="4C83312C" w14:textId="5E40298A" w:rsidR="00AC638D" w:rsidRPr="00607D84" w:rsidRDefault="009F7D91" w:rsidP="00607D84">
      <w:pPr>
        <w:spacing w:before="120"/>
        <w:ind w:firstLine="567"/>
        <w:jc w:val="both"/>
        <w:rPr>
          <w:rFonts w:ascii="Times New Roman" w:hAnsi="Times New Roman"/>
          <w:b w:val="0"/>
          <w:i/>
          <w:sz w:val="28"/>
          <w:szCs w:val="28"/>
        </w:rPr>
      </w:pPr>
      <w:r w:rsidRPr="00607D84">
        <w:rPr>
          <w:rFonts w:ascii="Times New Roman" w:hAnsi="Times New Roman"/>
          <w:b w:val="0"/>
          <w:i/>
          <w:sz w:val="28"/>
          <w:szCs w:val="28"/>
        </w:rPr>
        <w:t xml:space="preserve">Theo đề nghị của Giám đốc Sở Xây dựng tại Tờ trình số </w:t>
      </w:r>
      <w:r w:rsidR="008357A2" w:rsidRPr="00607D84">
        <w:rPr>
          <w:rFonts w:ascii="Times New Roman" w:hAnsi="Times New Roman"/>
          <w:b w:val="0"/>
          <w:i/>
          <w:sz w:val="28"/>
          <w:szCs w:val="28"/>
        </w:rPr>
        <w:t>97</w:t>
      </w:r>
      <w:r w:rsidRPr="00607D84">
        <w:rPr>
          <w:rFonts w:ascii="Times New Roman" w:hAnsi="Times New Roman"/>
          <w:b w:val="0"/>
          <w:i/>
          <w:sz w:val="28"/>
          <w:szCs w:val="28"/>
        </w:rPr>
        <w:t>/TTr-SXD ngày</w:t>
      </w:r>
      <w:r w:rsidR="008357A2" w:rsidRPr="00607D84">
        <w:rPr>
          <w:rFonts w:ascii="Times New Roman" w:hAnsi="Times New Roman"/>
          <w:b w:val="0"/>
          <w:i/>
          <w:sz w:val="28"/>
          <w:szCs w:val="28"/>
        </w:rPr>
        <w:t xml:space="preserve"> 27</w:t>
      </w:r>
      <w:r w:rsidRPr="00607D84">
        <w:rPr>
          <w:rFonts w:ascii="Times New Roman" w:hAnsi="Times New Roman"/>
          <w:b w:val="0"/>
          <w:i/>
          <w:sz w:val="28"/>
          <w:szCs w:val="28"/>
        </w:rPr>
        <w:t xml:space="preserve"> tháng 8 năm 2024.</w:t>
      </w:r>
    </w:p>
    <w:p w14:paraId="25215672" w14:textId="15AD442B" w:rsidR="005450DB" w:rsidRPr="00607D84" w:rsidRDefault="005450DB" w:rsidP="00607D84">
      <w:pPr>
        <w:widowControl w:val="0"/>
        <w:spacing w:before="240" w:after="240"/>
        <w:jc w:val="center"/>
        <w:rPr>
          <w:rFonts w:ascii="Times New Roman" w:hAnsi="Times New Roman"/>
          <w:sz w:val="28"/>
          <w:szCs w:val="28"/>
          <w:lang w:val="pt-BR"/>
        </w:rPr>
      </w:pPr>
      <w:r w:rsidRPr="00607D84">
        <w:rPr>
          <w:rFonts w:ascii="Times New Roman" w:hAnsi="Times New Roman"/>
          <w:sz w:val="28"/>
          <w:szCs w:val="28"/>
          <w:lang w:val="pt-BR"/>
        </w:rPr>
        <w:t>QUYẾT ĐỊNH:</w:t>
      </w:r>
    </w:p>
    <w:p w14:paraId="2D7C569C" w14:textId="4F430757" w:rsidR="00166143" w:rsidRPr="00607D84" w:rsidRDefault="006E11DB" w:rsidP="00607D84">
      <w:pPr>
        <w:widowControl w:val="0"/>
        <w:spacing w:before="120"/>
        <w:ind w:firstLine="567"/>
        <w:jc w:val="both"/>
        <w:rPr>
          <w:rFonts w:ascii="Times New Roman" w:hAnsi="Times New Roman"/>
          <w:b w:val="0"/>
          <w:sz w:val="28"/>
          <w:szCs w:val="28"/>
          <w:lang w:val="pt-BR"/>
        </w:rPr>
      </w:pPr>
      <w:r w:rsidRPr="00580CDA">
        <w:rPr>
          <w:rFonts w:ascii="Times New Roman" w:hAnsi="Times New Roman"/>
          <w:sz w:val="28"/>
          <w:szCs w:val="28"/>
          <w:lang w:val="pt-BR"/>
        </w:rPr>
        <w:t>Điều 1.</w:t>
      </w:r>
      <w:r w:rsidRPr="00607D84">
        <w:rPr>
          <w:rFonts w:ascii="Times New Roman" w:hAnsi="Times New Roman"/>
          <w:b w:val="0"/>
          <w:sz w:val="28"/>
          <w:szCs w:val="28"/>
          <w:lang w:val="pt-BR"/>
        </w:rPr>
        <w:t xml:space="preserve"> </w:t>
      </w:r>
      <w:r w:rsidR="005411A0" w:rsidRPr="00607D84">
        <w:rPr>
          <w:rFonts w:ascii="Times New Roman" w:hAnsi="Times New Roman"/>
          <w:b w:val="0"/>
          <w:sz w:val="28"/>
          <w:szCs w:val="28"/>
        </w:rPr>
        <w:t xml:space="preserve">Duyệt </w:t>
      </w:r>
      <w:r w:rsidR="00336466">
        <w:rPr>
          <w:rFonts w:ascii="Times New Roman" w:hAnsi="Times New Roman"/>
          <w:b w:val="0"/>
          <w:sz w:val="28"/>
          <w:szCs w:val="28"/>
        </w:rPr>
        <w:t>đồ án q</w:t>
      </w:r>
      <w:r w:rsidR="006D4B22" w:rsidRPr="00607D84">
        <w:rPr>
          <w:rFonts w:ascii="Times New Roman" w:hAnsi="Times New Roman"/>
          <w:b w:val="0"/>
          <w:sz w:val="28"/>
          <w:szCs w:val="28"/>
        </w:rPr>
        <w:t>uy hoạch chi tiết đô thị tỷ lệ 1/500 Trung tâm thương mại tại phường Hiệp Hòa, thành phố Biên Hòa, tỉnh Đồng Nai với các nội dung chính như sau</w:t>
      </w:r>
      <w:r w:rsidR="00F94D96" w:rsidRPr="00607D84">
        <w:rPr>
          <w:rFonts w:ascii="Times New Roman" w:hAnsi="Times New Roman"/>
          <w:b w:val="0"/>
          <w:sz w:val="28"/>
          <w:szCs w:val="28"/>
          <w:lang w:val="pt-BR"/>
        </w:rPr>
        <w:t>:</w:t>
      </w:r>
    </w:p>
    <w:p w14:paraId="2706CD1D" w14:textId="2B62AE24"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1. Phạ</w:t>
      </w:r>
      <w:r w:rsidR="009F7D91" w:rsidRPr="00607D84">
        <w:rPr>
          <w:rFonts w:ascii="Times New Roman" w:hAnsi="Times New Roman"/>
          <w:b w:val="0"/>
          <w:bCs/>
          <w:sz w:val="28"/>
          <w:szCs w:val="28"/>
        </w:rPr>
        <w:t>m vi và ranh giới lập quy hoạch</w:t>
      </w:r>
    </w:p>
    <w:p w14:paraId="4AF7A9F3" w14:textId="5F5D5D04"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xml:space="preserve">Phạm vi lập quy hoạch thuộc địa bàn phường Hiệp Hòa, thành phố Biên Hòa, tỉnh Đồng Nai, tiếp giáp đường Đặng Văn Trơn (phía Tây Nam) và đường trục trung tâm thành phố - nhánh 2 đang triển khai thực hiện (phía Tây Bắc). Vị trí và ranh giới </w:t>
      </w:r>
      <w:r w:rsidRPr="00607D84">
        <w:rPr>
          <w:rFonts w:ascii="Times New Roman" w:hAnsi="Times New Roman"/>
          <w:b w:val="0"/>
          <w:bCs/>
          <w:sz w:val="28"/>
          <w:szCs w:val="28"/>
        </w:rPr>
        <w:lastRenderedPageBreak/>
        <w:t xml:space="preserve">cụ thể theo </w:t>
      </w:r>
      <w:r w:rsidRPr="00607D84">
        <w:rPr>
          <w:rFonts w:ascii="Times New Roman" w:hAnsi="Times New Roman"/>
          <w:b w:val="0"/>
          <w:sz w:val="28"/>
          <w:szCs w:val="28"/>
        </w:rPr>
        <w:t>Sơ đồ vị trí khu đất tỷ lệ 1/500 do Trung tâm Kỹ thuật Tài nguyên và Môi trường Đồng Nai lập ngày 05</w:t>
      </w:r>
      <w:r w:rsidR="009F7D91" w:rsidRPr="00607D84">
        <w:rPr>
          <w:rFonts w:ascii="Times New Roman" w:hAnsi="Times New Roman"/>
          <w:b w:val="0"/>
          <w:sz w:val="28"/>
          <w:szCs w:val="28"/>
        </w:rPr>
        <w:t xml:space="preserve"> tháng </w:t>
      </w:r>
      <w:r w:rsidRPr="00607D84">
        <w:rPr>
          <w:rFonts w:ascii="Times New Roman" w:hAnsi="Times New Roman"/>
          <w:b w:val="0"/>
          <w:sz w:val="28"/>
          <w:szCs w:val="28"/>
        </w:rPr>
        <w:t>6</w:t>
      </w:r>
      <w:r w:rsidR="009F7D91" w:rsidRPr="00607D84">
        <w:rPr>
          <w:rFonts w:ascii="Times New Roman" w:hAnsi="Times New Roman"/>
          <w:b w:val="0"/>
          <w:sz w:val="28"/>
          <w:szCs w:val="28"/>
        </w:rPr>
        <w:t xml:space="preserve"> năm </w:t>
      </w:r>
      <w:r w:rsidRPr="00607D84">
        <w:rPr>
          <w:rFonts w:ascii="Times New Roman" w:hAnsi="Times New Roman"/>
          <w:b w:val="0"/>
          <w:sz w:val="28"/>
          <w:szCs w:val="28"/>
        </w:rPr>
        <w:t>2023.</w:t>
      </w:r>
    </w:p>
    <w:p w14:paraId="1A3FB602" w14:textId="6282323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2</w:t>
      </w:r>
      <w:r w:rsidR="009F7D91" w:rsidRPr="00607D84">
        <w:rPr>
          <w:rFonts w:ascii="Times New Roman" w:hAnsi="Times New Roman"/>
          <w:b w:val="0"/>
          <w:bCs/>
          <w:sz w:val="28"/>
          <w:szCs w:val="28"/>
        </w:rPr>
        <w:t>. Quy mô và tỷ lệ lập quy hoạch</w:t>
      </w:r>
    </w:p>
    <w:p w14:paraId="19361F54" w14:textId="2DD7D184" w:rsidR="006D4B22" w:rsidRPr="00607D84" w:rsidRDefault="00D372EF"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a)</w:t>
      </w:r>
      <w:r w:rsidR="006D4B22" w:rsidRPr="00607D84">
        <w:rPr>
          <w:rFonts w:ascii="Times New Roman" w:hAnsi="Times New Roman"/>
          <w:b w:val="0"/>
          <w:bCs/>
          <w:sz w:val="28"/>
          <w:szCs w:val="28"/>
        </w:rPr>
        <w:t xml:space="preserve"> Quy mô diện tích: 116.635</w:t>
      </w:r>
      <w:r w:rsidR="009F7D91"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w:t>
      </w:r>
      <w:r w:rsidR="006D4B22" w:rsidRPr="00607D84">
        <w:rPr>
          <w:rFonts w:ascii="Times New Roman" w:hAnsi="Times New Roman"/>
          <w:b w:val="0"/>
          <w:bCs/>
          <w:sz w:val="28"/>
          <w:szCs w:val="28"/>
          <w:vertAlign w:val="superscript"/>
        </w:rPr>
        <w:t>2</w:t>
      </w:r>
      <w:r w:rsidR="006D4B22" w:rsidRPr="00607D84">
        <w:rPr>
          <w:rFonts w:ascii="Times New Roman" w:hAnsi="Times New Roman"/>
          <w:b w:val="0"/>
          <w:bCs/>
          <w:sz w:val="28"/>
          <w:szCs w:val="28"/>
        </w:rPr>
        <w:t xml:space="preserve"> (phạm vi diện tích đất xây dựng trung tâm thương mại khoảng 100.994</w:t>
      </w:r>
      <w:r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w:t>
      </w:r>
      <w:r w:rsidR="006D4B22" w:rsidRPr="00607D84">
        <w:rPr>
          <w:rFonts w:ascii="Times New Roman" w:hAnsi="Times New Roman"/>
          <w:b w:val="0"/>
          <w:bCs/>
          <w:sz w:val="28"/>
          <w:szCs w:val="28"/>
          <w:vertAlign w:val="superscript"/>
        </w:rPr>
        <w:t>2</w:t>
      </w:r>
      <w:r w:rsidR="006D4B22" w:rsidRPr="00607D84">
        <w:rPr>
          <w:rFonts w:ascii="Times New Roman" w:hAnsi="Times New Roman"/>
          <w:b w:val="0"/>
          <w:bCs/>
          <w:sz w:val="28"/>
          <w:szCs w:val="28"/>
        </w:rPr>
        <w:t>; phạm vi diện tích đất xây dựng 03 tuyến đường xung quanh khoảng 15.641</w:t>
      </w:r>
      <w:r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w:t>
      </w:r>
      <w:r w:rsidR="006D4B22" w:rsidRPr="00607D84">
        <w:rPr>
          <w:rFonts w:ascii="Times New Roman" w:hAnsi="Times New Roman"/>
          <w:b w:val="0"/>
          <w:bCs/>
          <w:sz w:val="28"/>
          <w:szCs w:val="28"/>
          <w:vertAlign w:val="superscript"/>
        </w:rPr>
        <w:t>2</w:t>
      </w:r>
      <w:r w:rsidR="006D4B22" w:rsidRPr="00607D84">
        <w:rPr>
          <w:rFonts w:ascii="Times New Roman" w:hAnsi="Times New Roman"/>
          <w:b w:val="0"/>
          <w:bCs/>
          <w:sz w:val="28"/>
          <w:szCs w:val="28"/>
        </w:rPr>
        <w:t>).</w:t>
      </w:r>
    </w:p>
    <w:p w14:paraId="4C5CA09F" w14:textId="4673EB03" w:rsidR="006D4B22" w:rsidRPr="00607D84" w:rsidRDefault="00D372EF"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b)</w:t>
      </w:r>
      <w:r w:rsidR="006D4B22" w:rsidRPr="00607D84">
        <w:rPr>
          <w:rFonts w:ascii="Times New Roman" w:hAnsi="Times New Roman"/>
          <w:b w:val="0"/>
          <w:bCs/>
          <w:sz w:val="28"/>
          <w:szCs w:val="28"/>
        </w:rPr>
        <w:t xml:space="preserve"> Tỷ lệ lập quy hoạch: 1/500.</w:t>
      </w:r>
    </w:p>
    <w:p w14:paraId="188ADC11" w14:textId="66ECFDFD"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3. Mục tiêu, tín</w:t>
      </w:r>
      <w:r w:rsidR="00D372EF" w:rsidRPr="00607D84">
        <w:rPr>
          <w:rFonts w:ascii="Times New Roman" w:hAnsi="Times New Roman"/>
          <w:b w:val="0"/>
          <w:bCs/>
          <w:sz w:val="28"/>
          <w:szCs w:val="28"/>
        </w:rPr>
        <w:t>h chất, chức năng lập quy hoạch</w:t>
      </w:r>
    </w:p>
    <w:p w14:paraId="222925A9" w14:textId="202C1987" w:rsidR="006D4B22" w:rsidRPr="00607D84" w:rsidRDefault="00D372EF"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a) Mục tiêu</w:t>
      </w:r>
    </w:p>
    <w:p w14:paraId="1F9681B0" w14:textId="4801CF33" w:rsidR="006D4B22" w:rsidRPr="00607D84" w:rsidRDefault="00FB7709" w:rsidP="00607D84">
      <w:pPr>
        <w:widowControl w:val="0"/>
        <w:spacing w:before="120"/>
        <w:ind w:firstLine="567"/>
        <w:jc w:val="both"/>
        <w:rPr>
          <w:rFonts w:ascii="Times New Roman" w:hAnsi="Times New Roman"/>
          <w:b w:val="0"/>
          <w:bCs/>
          <w:sz w:val="28"/>
          <w:szCs w:val="28"/>
          <w:lang w:val="pl-PL"/>
        </w:rPr>
      </w:pPr>
      <w:r>
        <w:rPr>
          <w:rFonts w:ascii="Times New Roman" w:hAnsi="Times New Roman"/>
          <w:b w:val="0"/>
          <w:bCs/>
          <w:sz w:val="28"/>
          <w:szCs w:val="28"/>
          <w:lang w:val="pl-PL"/>
        </w:rPr>
        <w:t>- Cụ thể hóa đồ án q</w:t>
      </w:r>
      <w:r w:rsidR="006D4B22" w:rsidRPr="00607D84">
        <w:rPr>
          <w:rFonts w:ascii="Times New Roman" w:hAnsi="Times New Roman"/>
          <w:b w:val="0"/>
          <w:bCs/>
          <w:sz w:val="28"/>
          <w:szCs w:val="28"/>
          <w:lang w:val="pl-PL"/>
        </w:rPr>
        <w:t>uy hoạch phân khu xây dựng tỷ lệ 1/5000 phân khu A4 tại phường Hiệp Hòa, thành phố Biên Hòa, tỉnh Đồng Nai.</w:t>
      </w:r>
    </w:p>
    <w:p w14:paraId="6BFA06BD" w14:textId="77777777" w:rsidR="006D4B22" w:rsidRPr="00607D84" w:rsidRDefault="006D4B22" w:rsidP="00607D84">
      <w:pPr>
        <w:widowControl w:val="0"/>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 Bổ sung hệ thống công trình thương mại dịch vụ, nhằm tạo động lực thúc đẩy phát triển kinh tế xã hội tỉnh Đồng Nai.</w:t>
      </w:r>
    </w:p>
    <w:p w14:paraId="71E17DA3" w14:textId="77777777" w:rsidR="006D4B22" w:rsidRPr="00607D84" w:rsidRDefault="006D4B22" w:rsidP="00607D84">
      <w:pPr>
        <w:widowControl w:val="0"/>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 Làm cơ sở pháp lý để quản lý đầu tư xây dựng, lập dự án đầu tư và cấp giấy phép xây dựng;</w:t>
      </w:r>
    </w:p>
    <w:p w14:paraId="729DD584" w14:textId="77777777" w:rsidR="006D4B22" w:rsidRPr="00607D84" w:rsidRDefault="006D4B22" w:rsidP="00607D84">
      <w:pPr>
        <w:widowControl w:val="0"/>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 Đầu tư, xây dựng, vận hành Trung tâm thương mại dịch vụ tổng hợp.</w:t>
      </w:r>
    </w:p>
    <w:p w14:paraId="2C151A2C" w14:textId="7777777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lang w:val="pl-PL"/>
        </w:rPr>
        <w:t>- Đầu tư xây dựng hạ tầng kỹ thuật 03 tuyến đường xung quanh trung tâm thương mại theo quy hoạch phân khu được duyệt và bàn giao cho nhà nước quản lý sử dụng sau khi hoàn thành.</w:t>
      </w:r>
    </w:p>
    <w:p w14:paraId="4099CF25" w14:textId="52D5E799" w:rsidR="006D4B22" w:rsidRPr="00607D84" w:rsidRDefault="00D372EF"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b) Tính chất và chức năng</w:t>
      </w:r>
    </w:p>
    <w:p w14:paraId="67AC8B04" w14:textId="7777777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lang w:val="pl-PL"/>
        </w:rPr>
        <w:t>Là khu thương mại dịch vụ tổng hợp được đầu tư đồng bộ từ công trình kiến trúc đến hạ tầng kỹ thuật, đảm bảo khai thác tối đa về lợi thế đầu tư kinh doanh đồng thời tạo dựng bộ mặt kiến trúc đô thị khu vực trung tâm với đường nét kiến trúc hài hòa thân thiện với môi trường.</w:t>
      </w:r>
    </w:p>
    <w:p w14:paraId="615E0AB8" w14:textId="16517D54"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4. Các chỉ t</w:t>
      </w:r>
      <w:r w:rsidR="00D372EF" w:rsidRPr="00607D84">
        <w:rPr>
          <w:rFonts w:ascii="Times New Roman" w:hAnsi="Times New Roman"/>
          <w:b w:val="0"/>
          <w:bCs/>
          <w:sz w:val="28"/>
          <w:szCs w:val="28"/>
        </w:rPr>
        <w:t>iêu áp dụng cho đồ án quy hoạch</w:t>
      </w:r>
    </w:p>
    <w:p w14:paraId="6FCE0EC1" w14:textId="2A92DCDF" w:rsidR="006D4B22" w:rsidRPr="00607D84" w:rsidRDefault="006D4B22"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bCs/>
          <w:sz w:val="28"/>
          <w:szCs w:val="28"/>
        </w:rPr>
        <w:t xml:space="preserve">a) Chỉ tiêu </w:t>
      </w:r>
      <w:r w:rsidR="00D372EF" w:rsidRPr="00607D84">
        <w:rPr>
          <w:rFonts w:ascii="Times New Roman" w:hAnsi="Times New Roman"/>
          <w:b w:val="0"/>
          <w:sz w:val="28"/>
          <w:szCs w:val="28"/>
          <w:lang w:val="nl-NL"/>
        </w:rPr>
        <w:t>sử dụng đất quy hoạch</w:t>
      </w:r>
    </w:p>
    <w:p w14:paraId="4F19011E" w14:textId="14AC541A"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 Mật độ xây dựng:</w:t>
      </w:r>
    </w:p>
    <w:p w14:paraId="0D4CB13F" w14:textId="000A8332" w:rsidR="006D4B22" w:rsidRPr="00607D84" w:rsidRDefault="00D372EF" w:rsidP="00607D84">
      <w:pPr>
        <w:spacing w:before="120"/>
        <w:ind w:firstLine="567"/>
        <w:jc w:val="both"/>
        <w:rPr>
          <w:rFonts w:ascii="Times New Roman" w:hAnsi="Times New Roman"/>
          <w:b w:val="0"/>
          <w:sz w:val="28"/>
          <w:szCs w:val="28"/>
        </w:rPr>
      </w:pPr>
      <w:r w:rsidRPr="00607D84">
        <w:rPr>
          <w:rFonts w:ascii="Times New Roman" w:hAnsi="Times New Roman"/>
          <w:b w:val="0"/>
          <w:sz w:val="28"/>
          <w:szCs w:val="28"/>
        </w:rPr>
        <w:t>+</w:t>
      </w:r>
      <w:r w:rsidR="006D4B22" w:rsidRPr="00607D84">
        <w:rPr>
          <w:rFonts w:ascii="Times New Roman" w:hAnsi="Times New Roman"/>
          <w:b w:val="0"/>
          <w:sz w:val="28"/>
          <w:szCs w:val="28"/>
        </w:rPr>
        <w:t xml:space="preserve"> Mật độ xây dựng gộp toàn khu: ≤ 60%.</w:t>
      </w:r>
    </w:p>
    <w:p w14:paraId="52386D17" w14:textId="2E57BD41" w:rsidR="006D4B22" w:rsidRPr="00607D84" w:rsidRDefault="00D372EF" w:rsidP="00607D84">
      <w:pPr>
        <w:widowControl w:val="0"/>
        <w:spacing w:before="120"/>
        <w:ind w:firstLine="567"/>
        <w:jc w:val="both"/>
        <w:rPr>
          <w:rFonts w:ascii="Times New Roman" w:hAnsi="Times New Roman"/>
          <w:b w:val="0"/>
          <w:i/>
          <w:sz w:val="28"/>
          <w:szCs w:val="28"/>
          <w:lang w:val="nl-NL"/>
        </w:rPr>
      </w:pPr>
      <w:r w:rsidRPr="00607D84">
        <w:rPr>
          <w:rFonts w:ascii="Times New Roman" w:hAnsi="Times New Roman"/>
          <w:b w:val="0"/>
          <w:sz w:val="28"/>
          <w:szCs w:val="28"/>
        </w:rPr>
        <w:t>+</w:t>
      </w:r>
      <w:r w:rsidR="006D4B22" w:rsidRPr="00607D84">
        <w:rPr>
          <w:rFonts w:ascii="Times New Roman" w:hAnsi="Times New Roman"/>
          <w:b w:val="0"/>
          <w:sz w:val="28"/>
          <w:szCs w:val="28"/>
        </w:rPr>
        <w:t xml:space="preserve"> Mật độ xây dựng công trình chính: ≤ 45%</w:t>
      </w:r>
      <w:r w:rsidR="006D4B22" w:rsidRPr="00607D84">
        <w:rPr>
          <w:rFonts w:ascii="Times New Roman" w:hAnsi="Times New Roman"/>
          <w:b w:val="0"/>
          <w:sz w:val="28"/>
          <w:szCs w:val="28"/>
          <w:lang w:val="nl-NL"/>
        </w:rPr>
        <w:t>.</w:t>
      </w:r>
    </w:p>
    <w:p w14:paraId="59BDF5D4" w14:textId="6CB94B8B"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Tầng cao và chiều cao:</w:t>
      </w:r>
    </w:p>
    <w:p w14:paraId="678CA420" w14:textId="746F57E5"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07464E" w:rsidRPr="00607D84">
        <w:rPr>
          <w:rFonts w:ascii="Times New Roman" w:hAnsi="Times New Roman"/>
          <w:b w:val="0"/>
          <w:sz w:val="28"/>
          <w:szCs w:val="28"/>
          <w:lang w:val="nl-NL"/>
        </w:rPr>
        <w:t xml:space="preserve"> Số tầng cao:</w:t>
      </w:r>
    </w:p>
    <w:p w14:paraId="19813EDD" w14:textId="6E8BD085"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Công trình chính: ≤ 08 tầng</w:t>
      </w:r>
      <w:r w:rsidR="006D4B22" w:rsidRPr="00607D84">
        <w:rPr>
          <w:rFonts w:ascii="Times New Roman" w:hAnsi="Times New Roman"/>
          <w:b w:val="0"/>
          <w:sz w:val="28"/>
          <w:szCs w:val="28"/>
        </w:rPr>
        <w:t>.</w:t>
      </w:r>
    </w:p>
    <w:p w14:paraId="0E555298" w14:textId="7B80DB7F"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 xml:space="preserve">• </w:t>
      </w:r>
      <w:r w:rsidR="006D4B22" w:rsidRPr="00607D84">
        <w:rPr>
          <w:rFonts w:ascii="Times New Roman" w:hAnsi="Times New Roman"/>
          <w:b w:val="0"/>
          <w:sz w:val="28"/>
          <w:szCs w:val="28"/>
          <w:lang w:val="nl-NL"/>
        </w:rPr>
        <w:t>Công trình phụ trợ và hạ tầng kỹ thuật kèm theo: ≤ 01 tầng.</w:t>
      </w:r>
    </w:p>
    <w:p w14:paraId="7A4E4E6F" w14:textId="04CB608D"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Chiều cao công trình</w:t>
      </w:r>
      <w:r w:rsidR="00FD55B6" w:rsidRPr="00607D84">
        <w:rPr>
          <w:rFonts w:ascii="Times New Roman" w:hAnsi="Times New Roman"/>
          <w:b w:val="0"/>
          <w:sz w:val="28"/>
          <w:szCs w:val="28"/>
          <w:lang w:val="nl-NL"/>
        </w:rPr>
        <w:t xml:space="preserve"> chính</w:t>
      </w:r>
      <w:r w:rsidR="006D4B22" w:rsidRPr="00607D84">
        <w:rPr>
          <w:rFonts w:ascii="Times New Roman" w:hAnsi="Times New Roman"/>
          <w:b w:val="0"/>
          <w:sz w:val="28"/>
          <w:szCs w:val="28"/>
          <w:lang w:val="nl-NL"/>
        </w:rPr>
        <w:t xml:space="preserve">: </w:t>
      </w:r>
      <w:r w:rsidR="006D4B22" w:rsidRPr="00607D84">
        <w:rPr>
          <w:rFonts w:ascii="Times New Roman" w:hAnsi="Times New Roman"/>
          <w:b w:val="0"/>
          <w:sz w:val="28"/>
          <w:szCs w:val="28"/>
        </w:rPr>
        <w:t>≤ 40</w:t>
      </w:r>
      <w:r w:rsidRPr="00607D84">
        <w:rPr>
          <w:rFonts w:ascii="Times New Roman" w:hAnsi="Times New Roman"/>
          <w:b w:val="0"/>
          <w:sz w:val="28"/>
          <w:szCs w:val="28"/>
        </w:rPr>
        <w:t xml:space="preserve"> </w:t>
      </w:r>
      <w:r w:rsidR="006D4B22" w:rsidRPr="00607D84">
        <w:rPr>
          <w:rFonts w:ascii="Times New Roman" w:hAnsi="Times New Roman"/>
          <w:b w:val="0"/>
          <w:sz w:val="28"/>
          <w:szCs w:val="28"/>
        </w:rPr>
        <w:t>m</w:t>
      </w:r>
      <w:r w:rsidR="006D4B22" w:rsidRPr="00607D84">
        <w:rPr>
          <w:rFonts w:ascii="Times New Roman" w:hAnsi="Times New Roman"/>
          <w:b w:val="0"/>
          <w:sz w:val="28"/>
          <w:szCs w:val="28"/>
          <w:lang w:val="nl-NL"/>
        </w:rPr>
        <w:t>.</w:t>
      </w:r>
    </w:p>
    <w:p w14:paraId="2923E186" w14:textId="063B7FE9"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Tầng </w:t>
      </w:r>
      <w:r w:rsidR="0007464E" w:rsidRPr="00607D84">
        <w:rPr>
          <w:rFonts w:ascii="Times New Roman" w:hAnsi="Times New Roman"/>
          <w:b w:val="0"/>
          <w:sz w:val="28"/>
          <w:szCs w:val="28"/>
          <w:lang w:val="nl-NL"/>
        </w:rPr>
        <w:t>h</w:t>
      </w:r>
      <w:r w:rsidR="006D4B22" w:rsidRPr="00607D84">
        <w:rPr>
          <w:rFonts w:ascii="Times New Roman" w:hAnsi="Times New Roman"/>
          <w:b w:val="0"/>
          <w:sz w:val="28"/>
          <w:szCs w:val="28"/>
          <w:lang w:val="nl-NL"/>
        </w:rPr>
        <w:t>ầm:</w:t>
      </w:r>
    </w:p>
    <w:p w14:paraId="608FAC6B" w14:textId="19C63066" w:rsidR="006D4B22" w:rsidRPr="00607D84" w:rsidRDefault="00D372EF" w:rsidP="00607D84">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Số tầng: 01 tầng.</w:t>
      </w:r>
    </w:p>
    <w:p w14:paraId="02D65D71" w14:textId="1564425A"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lastRenderedPageBreak/>
        <w:t xml:space="preserve">+ </w:t>
      </w:r>
      <w:r w:rsidR="006D4B22" w:rsidRPr="00607D84">
        <w:rPr>
          <w:rFonts w:ascii="Times New Roman" w:hAnsi="Times New Roman"/>
          <w:b w:val="0"/>
          <w:sz w:val="28"/>
          <w:szCs w:val="28"/>
          <w:lang w:val="nl-NL"/>
        </w:rPr>
        <w:t>Chiều cao:</w:t>
      </w:r>
      <w:r w:rsidR="006D4B22" w:rsidRPr="00607D84">
        <w:rPr>
          <w:rFonts w:ascii="Times New Roman" w:hAnsi="Times New Roman"/>
          <w:b w:val="0"/>
          <w:sz w:val="28"/>
          <w:szCs w:val="28"/>
        </w:rPr>
        <w:t xml:space="preserve"> 3,0</w:t>
      </w:r>
      <w:r w:rsidRPr="00607D84">
        <w:rPr>
          <w:rFonts w:ascii="Times New Roman" w:hAnsi="Times New Roman"/>
          <w:b w:val="0"/>
          <w:sz w:val="28"/>
          <w:szCs w:val="28"/>
        </w:rPr>
        <w:t xml:space="preserve"> </w:t>
      </w:r>
      <w:r w:rsidR="006D4B22" w:rsidRPr="00607D84">
        <w:rPr>
          <w:rFonts w:ascii="Times New Roman" w:hAnsi="Times New Roman"/>
          <w:b w:val="0"/>
          <w:sz w:val="28"/>
          <w:szCs w:val="28"/>
        </w:rPr>
        <w:t xml:space="preserve">m </w:t>
      </w:r>
      <w:r w:rsidRPr="00607D84">
        <w:rPr>
          <w:rFonts w:ascii="Times New Roman" w:hAnsi="Times New Roman"/>
          <w:b w:val="0"/>
          <w:sz w:val="28"/>
          <w:szCs w:val="28"/>
        </w:rPr>
        <w:t>-</w:t>
      </w:r>
      <w:r w:rsidR="006D4B22" w:rsidRPr="00607D84">
        <w:rPr>
          <w:rFonts w:ascii="Times New Roman" w:hAnsi="Times New Roman"/>
          <w:b w:val="0"/>
          <w:sz w:val="28"/>
          <w:szCs w:val="28"/>
        </w:rPr>
        <w:t xml:space="preserve"> 5,0</w:t>
      </w:r>
      <w:r w:rsidRPr="00607D84">
        <w:rPr>
          <w:rFonts w:ascii="Times New Roman" w:hAnsi="Times New Roman"/>
          <w:b w:val="0"/>
          <w:sz w:val="28"/>
          <w:szCs w:val="28"/>
        </w:rPr>
        <w:t xml:space="preserve"> </w:t>
      </w:r>
      <w:r w:rsidR="006D4B22" w:rsidRPr="00607D84">
        <w:rPr>
          <w:rFonts w:ascii="Times New Roman" w:hAnsi="Times New Roman"/>
          <w:b w:val="0"/>
          <w:sz w:val="28"/>
          <w:szCs w:val="28"/>
        </w:rPr>
        <w:t>m.</w:t>
      </w:r>
    </w:p>
    <w:p w14:paraId="74CB5FFC" w14:textId="0200856C"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Hệ số sử dụng đất: ≤ 3.</w:t>
      </w:r>
    </w:p>
    <w:p w14:paraId="392E3FA2" w14:textId="6C672ED3"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Chỉ giới xây dựng:</w:t>
      </w:r>
    </w:p>
    <w:p w14:paraId="3E4C08C9" w14:textId="193DEE6A"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Phần trên mặt đất:</w:t>
      </w:r>
    </w:p>
    <w:p w14:paraId="05F9E62F" w14:textId="1A08A18F" w:rsidR="006D4B22" w:rsidRPr="00607D84" w:rsidRDefault="00D372EF" w:rsidP="00607D84">
      <w:pPr>
        <w:spacing w:before="120"/>
        <w:ind w:firstLine="567"/>
        <w:jc w:val="both"/>
        <w:rPr>
          <w:rFonts w:ascii="Times New Roman" w:hAnsi="Times New Roman"/>
          <w:b w:val="0"/>
          <w:sz w:val="28"/>
          <w:szCs w:val="28"/>
        </w:rPr>
      </w:pPr>
      <w:r w:rsidRPr="00607D84">
        <w:rPr>
          <w:rFonts w:ascii="Times New Roman" w:hAnsi="Times New Roman"/>
          <w:b w:val="0"/>
          <w:sz w:val="28"/>
          <w:szCs w:val="28"/>
          <w:lang w:val="nl-NL"/>
        </w:rPr>
        <w:t xml:space="preserve">• </w:t>
      </w:r>
      <w:r w:rsidR="006D4B22" w:rsidRPr="00607D84">
        <w:rPr>
          <w:rFonts w:ascii="Times New Roman" w:hAnsi="Times New Roman"/>
          <w:b w:val="0"/>
          <w:sz w:val="28"/>
          <w:szCs w:val="28"/>
        </w:rPr>
        <w:t>Đối với công trình chính: ≥ 6</w:t>
      </w:r>
      <w:r w:rsidRPr="00607D84">
        <w:rPr>
          <w:rFonts w:ascii="Times New Roman" w:hAnsi="Times New Roman"/>
          <w:b w:val="0"/>
          <w:sz w:val="28"/>
          <w:szCs w:val="28"/>
        </w:rPr>
        <w:t xml:space="preserve"> </w:t>
      </w:r>
      <w:r w:rsidR="006D4B22" w:rsidRPr="00607D84">
        <w:rPr>
          <w:rFonts w:ascii="Times New Roman" w:hAnsi="Times New Roman"/>
          <w:b w:val="0"/>
          <w:sz w:val="28"/>
          <w:szCs w:val="28"/>
        </w:rPr>
        <w:t>m đối với tầng đế; ≥ 10</w:t>
      </w:r>
      <w:r w:rsidRPr="00607D84">
        <w:rPr>
          <w:rFonts w:ascii="Times New Roman" w:hAnsi="Times New Roman"/>
          <w:b w:val="0"/>
          <w:sz w:val="28"/>
          <w:szCs w:val="28"/>
        </w:rPr>
        <w:t xml:space="preserve"> </w:t>
      </w:r>
      <w:r w:rsidR="006D4B22" w:rsidRPr="00607D84">
        <w:rPr>
          <w:rFonts w:ascii="Times New Roman" w:hAnsi="Times New Roman"/>
          <w:b w:val="0"/>
          <w:sz w:val="28"/>
          <w:szCs w:val="28"/>
        </w:rPr>
        <w:t>m đối với tầng</w:t>
      </w:r>
      <w:r w:rsidR="0053787C" w:rsidRPr="00607D84">
        <w:rPr>
          <w:rFonts w:ascii="Times New Roman" w:hAnsi="Times New Roman"/>
          <w:b w:val="0"/>
          <w:sz w:val="28"/>
          <w:szCs w:val="28"/>
        </w:rPr>
        <w:t xml:space="preserve"> tháp</w:t>
      </w:r>
      <w:r w:rsidRPr="00607D84">
        <w:rPr>
          <w:rFonts w:ascii="Times New Roman" w:hAnsi="Times New Roman"/>
          <w:b w:val="0"/>
          <w:sz w:val="28"/>
          <w:szCs w:val="28"/>
        </w:rPr>
        <w:t>.</w:t>
      </w:r>
    </w:p>
    <w:p w14:paraId="5F004069" w14:textId="3CF0BCA5" w:rsidR="006D4B22" w:rsidRPr="00607D84" w:rsidRDefault="00D372EF" w:rsidP="00607D84">
      <w:pPr>
        <w:widowControl w:val="0"/>
        <w:spacing w:before="120"/>
        <w:ind w:firstLine="567"/>
        <w:jc w:val="both"/>
        <w:rPr>
          <w:rFonts w:ascii="Times New Roman" w:hAnsi="Times New Roman"/>
          <w:b w:val="0"/>
          <w:sz w:val="28"/>
          <w:szCs w:val="28"/>
        </w:rPr>
      </w:pPr>
      <w:r w:rsidRPr="00607D84">
        <w:rPr>
          <w:rFonts w:ascii="Times New Roman" w:hAnsi="Times New Roman"/>
          <w:b w:val="0"/>
          <w:sz w:val="28"/>
          <w:szCs w:val="28"/>
          <w:lang w:val="nl-NL"/>
        </w:rPr>
        <w:t xml:space="preserve">• </w:t>
      </w:r>
      <w:r w:rsidR="006D4B22" w:rsidRPr="00607D84">
        <w:rPr>
          <w:rFonts w:ascii="Times New Roman" w:hAnsi="Times New Roman"/>
          <w:b w:val="0"/>
          <w:sz w:val="28"/>
          <w:szCs w:val="28"/>
        </w:rPr>
        <w:t>Đối với công trình phụ trợ và hạ tầng kỹ thuật kèm theo: Tuân thủ quy chuẩn, tiêu chuẩn hiện hành.</w:t>
      </w:r>
    </w:p>
    <w:p w14:paraId="27B3E3D9" w14:textId="282CB95E" w:rsidR="006D4B22" w:rsidRPr="00607D84" w:rsidRDefault="00D372EF"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w:t>
      </w:r>
      <w:r w:rsidR="006D4B22" w:rsidRPr="00607D84">
        <w:rPr>
          <w:rFonts w:ascii="Times New Roman" w:hAnsi="Times New Roman"/>
          <w:b w:val="0"/>
          <w:sz w:val="28"/>
          <w:szCs w:val="28"/>
          <w:lang w:val="nl-NL"/>
        </w:rPr>
        <w:t xml:space="preserve"> Phần ngầm:</w:t>
      </w:r>
      <w:r w:rsidR="006D4B22" w:rsidRPr="00607D84">
        <w:rPr>
          <w:rFonts w:ascii="Times New Roman" w:hAnsi="Times New Roman"/>
          <w:b w:val="0"/>
          <w:sz w:val="28"/>
          <w:szCs w:val="28"/>
        </w:rPr>
        <w:t xml:space="preserve"> </w:t>
      </w:r>
      <w:r w:rsidR="006D4B22" w:rsidRPr="00607D84">
        <w:rPr>
          <w:rFonts w:ascii="Times New Roman" w:hAnsi="Times New Roman"/>
          <w:b w:val="0"/>
          <w:bCs/>
          <w:sz w:val="28"/>
          <w:szCs w:val="28"/>
        </w:rPr>
        <w:t>Trùng với chỉ giới xây dựng của các tuyến đường theo quy hoạch phân khu A4 được duyệt</w:t>
      </w:r>
      <w:r w:rsidR="006D4B22" w:rsidRPr="00607D84">
        <w:rPr>
          <w:rFonts w:ascii="Times New Roman" w:hAnsi="Times New Roman"/>
          <w:b w:val="0"/>
          <w:sz w:val="28"/>
          <w:szCs w:val="28"/>
          <w:lang w:val="nl-NL"/>
        </w:rPr>
        <w:t>.</w:t>
      </w:r>
    </w:p>
    <w:p w14:paraId="3B38BE4B" w14:textId="01C25D52" w:rsidR="006D4B22" w:rsidRPr="00607D84" w:rsidRDefault="006D4B22"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b</w:t>
      </w:r>
      <w:r w:rsidR="00D372EF" w:rsidRPr="00607D84">
        <w:rPr>
          <w:rFonts w:ascii="Times New Roman" w:hAnsi="Times New Roman"/>
          <w:b w:val="0"/>
          <w:sz w:val="28"/>
          <w:szCs w:val="28"/>
          <w:lang w:val="nl-NL"/>
        </w:rPr>
        <w:t>) Chỉ tiêu về hạ tầng kỹ thuật</w:t>
      </w:r>
    </w:p>
    <w:p w14:paraId="0AE92182" w14:textId="13F1BB4D" w:rsidR="006D4B22" w:rsidRPr="00607D84" w:rsidRDefault="00D372EF"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điện:</w:t>
      </w:r>
    </w:p>
    <w:p w14:paraId="2CB73F09" w14:textId="676715CE" w:rsidR="006D4B22" w:rsidRPr="00607D84" w:rsidRDefault="006D4B22"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điện trung tâm thươ</w:t>
      </w:r>
      <w:r w:rsidR="00D372EF" w:rsidRPr="00607D84">
        <w:rPr>
          <w:rFonts w:ascii="Times New Roman" w:hAnsi="Times New Roman"/>
          <w:b w:val="0"/>
          <w:bCs/>
          <w:sz w:val="28"/>
          <w:szCs w:val="28"/>
        </w:rPr>
        <w:t>ng mại (có điều hòa): ≥ 30 W/m².</w:t>
      </w:r>
    </w:p>
    <w:p w14:paraId="0CFA08B3" w14:textId="0695B5F1" w:rsidR="006D4B22" w:rsidRPr="00607D84" w:rsidRDefault="006D4B22"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điện giao thông</w:t>
      </w:r>
      <w:r w:rsidRPr="00607D84">
        <w:rPr>
          <w:rFonts w:ascii="Times New Roman" w:hAnsi="Times New Roman"/>
          <w:b w:val="0"/>
          <w:bCs/>
          <w:sz w:val="28"/>
          <w:szCs w:val="28"/>
        </w:rPr>
        <w:tab/>
      </w:r>
      <w:r w:rsidRPr="00607D84">
        <w:rPr>
          <w:rFonts w:ascii="Times New Roman" w:hAnsi="Times New Roman"/>
          <w:b w:val="0"/>
          <w:bCs/>
          <w:sz w:val="28"/>
          <w:szCs w:val="28"/>
        </w:rPr>
        <w:tab/>
      </w:r>
      <w:r w:rsidRPr="00607D84">
        <w:rPr>
          <w:rFonts w:ascii="Times New Roman" w:hAnsi="Times New Roman"/>
          <w:b w:val="0"/>
          <w:bCs/>
          <w:sz w:val="28"/>
          <w:szCs w:val="28"/>
        </w:rPr>
        <w:tab/>
        <w:t>: ≥ 1</w:t>
      </w:r>
      <w:r w:rsidR="00D372EF" w:rsidRPr="00607D84">
        <w:rPr>
          <w:rFonts w:ascii="Times New Roman" w:hAnsi="Times New Roman"/>
          <w:b w:val="0"/>
          <w:bCs/>
          <w:sz w:val="28"/>
          <w:szCs w:val="28"/>
        </w:rPr>
        <w:t xml:space="preserve"> </w:t>
      </w:r>
      <w:r w:rsidRPr="00607D84">
        <w:rPr>
          <w:rFonts w:ascii="Times New Roman" w:hAnsi="Times New Roman"/>
          <w:b w:val="0"/>
          <w:bCs/>
          <w:sz w:val="28"/>
          <w:szCs w:val="28"/>
        </w:rPr>
        <w:t>W/m².</w:t>
      </w:r>
    </w:p>
    <w:p w14:paraId="6F2C78FE" w14:textId="75894468" w:rsidR="006D4B22" w:rsidRPr="00607D84" w:rsidRDefault="00D372EF"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nước:</w:t>
      </w:r>
    </w:p>
    <w:p w14:paraId="182A8A6F" w14:textId="54B0B9C5" w:rsidR="006D4B22" w:rsidRPr="00607D84" w:rsidRDefault="006D4B22"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nước trung t</w:t>
      </w:r>
      <w:r w:rsidR="00D372EF" w:rsidRPr="00607D84">
        <w:rPr>
          <w:rFonts w:ascii="Times New Roman" w:hAnsi="Times New Roman"/>
          <w:b w:val="0"/>
          <w:bCs/>
          <w:sz w:val="28"/>
          <w:szCs w:val="28"/>
        </w:rPr>
        <w:t>âm thương mại : ≥ 2 lít/m² sàn.</w:t>
      </w:r>
    </w:p>
    <w:p w14:paraId="330D7601" w14:textId="0B43419D" w:rsidR="006D4B22" w:rsidRPr="00607D84" w:rsidRDefault="006D4B22"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nước tưới</w:t>
      </w:r>
      <w:r w:rsidR="00D372EF" w:rsidRPr="00607D84">
        <w:rPr>
          <w:rFonts w:ascii="Times New Roman" w:hAnsi="Times New Roman"/>
          <w:b w:val="0"/>
          <w:bCs/>
          <w:sz w:val="28"/>
          <w:szCs w:val="28"/>
        </w:rPr>
        <w:t xml:space="preserve"> cây</w:t>
      </w:r>
      <w:r w:rsidR="00D372EF" w:rsidRPr="00607D84">
        <w:rPr>
          <w:rFonts w:ascii="Times New Roman" w:hAnsi="Times New Roman"/>
          <w:b w:val="0"/>
          <w:bCs/>
          <w:sz w:val="28"/>
          <w:szCs w:val="28"/>
        </w:rPr>
        <w:tab/>
      </w:r>
      <w:r w:rsidR="00D372EF" w:rsidRPr="00607D84">
        <w:rPr>
          <w:rFonts w:ascii="Times New Roman" w:hAnsi="Times New Roman"/>
          <w:b w:val="0"/>
          <w:bCs/>
          <w:sz w:val="28"/>
          <w:szCs w:val="28"/>
        </w:rPr>
        <w:tab/>
      </w:r>
      <w:r w:rsidR="00D372EF" w:rsidRPr="00607D84">
        <w:rPr>
          <w:rFonts w:ascii="Times New Roman" w:hAnsi="Times New Roman"/>
          <w:b w:val="0"/>
          <w:bCs/>
          <w:sz w:val="28"/>
          <w:szCs w:val="28"/>
        </w:rPr>
        <w:tab/>
        <w:t>: ≥ 3,5 lít/m² ngày đêm.</w:t>
      </w:r>
    </w:p>
    <w:p w14:paraId="2674C840" w14:textId="6F52B64A" w:rsidR="006D4B22" w:rsidRPr="00607D84" w:rsidRDefault="006D4B22"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cấp nước rửa đ</w:t>
      </w:r>
      <w:r w:rsidR="00D372EF" w:rsidRPr="00607D84">
        <w:rPr>
          <w:rFonts w:ascii="Times New Roman" w:hAnsi="Times New Roman"/>
          <w:b w:val="0"/>
          <w:bCs/>
          <w:sz w:val="28"/>
          <w:szCs w:val="28"/>
        </w:rPr>
        <w:t xml:space="preserve">ường </w:t>
      </w:r>
      <w:r w:rsidR="00D372EF" w:rsidRPr="00607D84">
        <w:rPr>
          <w:rFonts w:ascii="Times New Roman" w:hAnsi="Times New Roman"/>
          <w:b w:val="0"/>
          <w:bCs/>
          <w:sz w:val="28"/>
          <w:szCs w:val="28"/>
        </w:rPr>
        <w:tab/>
      </w:r>
      <w:r w:rsidR="00D372EF" w:rsidRPr="00607D84">
        <w:rPr>
          <w:rFonts w:ascii="Times New Roman" w:hAnsi="Times New Roman"/>
          <w:b w:val="0"/>
          <w:bCs/>
          <w:sz w:val="28"/>
          <w:szCs w:val="28"/>
        </w:rPr>
        <w:tab/>
        <w:t>: ≥ 0,5 lít/m² ngày/đêm.</w:t>
      </w:r>
    </w:p>
    <w:p w14:paraId="69330874" w14:textId="46DFF1E1" w:rsidR="006D4B22" w:rsidRPr="00607D84" w:rsidRDefault="00D372EF"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w:t>
      </w:r>
      <w:r w:rsidR="006D4B22" w:rsidRPr="00607D84">
        <w:rPr>
          <w:rFonts w:ascii="Times New Roman" w:hAnsi="Times New Roman"/>
          <w:b w:val="0"/>
          <w:bCs/>
          <w:sz w:val="28"/>
          <w:szCs w:val="28"/>
        </w:rPr>
        <w:t xml:space="preserve"> Tiêu chuẩn nước thải </w:t>
      </w:r>
      <w:r w:rsidR="006D4B22" w:rsidRPr="00607D84">
        <w:rPr>
          <w:rFonts w:ascii="Times New Roman" w:hAnsi="Times New Roman"/>
          <w:b w:val="0"/>
          <w:bCs/>
          <w:sz w:val="28"/>
          <w:szCs w:val="28"/>
        </w:rPr>
        <w:tab/>
      </w:r>
      <w:r w:rsidR="006D4B22" w:rsidRPr="00607D84">
        <w:rPr>
          <w:rFonts w:ascii="Times New Roman" w:hAnsi="Times New Roman"/>
          <w:b w:val="0"/>
          <w:bCs/>
          <w:sz w:val="28"/>
          <w:szCs w:val="28"/>
        </w:rPr>
        <w:tab/>
      </w:r>
      <w:r w:rsidR="006D4B22" w:rsidRPr="00607D84">
        <w:rPr>
          <w:rFonts w:ascii="Times New Roman" w:hAnsi="Times New Roman"/>
          <w:b w:val="0"/>
          <w:bCs/>
          <w:sz w:val="28"/>
          <w:szCs w:val="28"/>
        </w:rPr>
        <w:tab/>
      </w:r>
      <w:r w:rsidR="006D4B22" w:rsidRPr="00607D84">
        <w:rPr>
          <w:rFonts w:ascii="Times New Roman" w:hAnsi="Times New Roman"/>
          <w:b w:val="0"/>
          <w:bCs/>
          <w:sz w:val="28"/>
          <w:szCs w:val="28"/>
        </w:rPr>
        <w:tab/>
        <w:t>: 100% nước cấp.</w:t>
      </w:r>
    </w:p>
    <w:p w14:paraId="65D835BC" w14:textId="37076B97" w:rsidR="006D4B22" w:rsidRPr="00607D84" w:rsidRDefault="006D4B22" w:rsidP="00607D84">
      <w:pPr>
        <w:widowControl w:val="0"/>
        <w:tabs>
          <w:tab w:val="left" w:pos="2977"/>
        </w:tabs>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Tiêu chuẩn thả</w:t>
      </w:r>
      <w:r w:rsidR="004E2EB9" w:rsidRPr="00607D84">
        <w:rPr>
          <w:rFonts w:ascii="Times New Roman" w:hAnsi="Times New Roman"/>
          <w:b w:val="0"/>
          <w:bCs/>
          <w:sz w:val="28"/>
          <w:szCs w:val="28"/>
        </w:rPr>
        <w:t xml:space="preserve">i rác </w:t>
      </w:r>
      <w:r w:rsidR="004E2EB9" w:rsidRPr="00607D84">
        <w:rPr>
          <w:rFonts w:ascii="Times New Roman" w:hAnsi="Times New Roman"/>
          <w:b w:val="0"/>
          <w:bCs/>
          <w:sz w:val="28"/>
          <w:szCs w:val="28"/>
        </w:rPr>
        <w:tab/>
      </w:r>
      <w:r w:rsidR="004E2EB9" w:rsidRPr="00607D84">
        <w:rPr>
          <w:rFonts w:ascii="Times New Roman" w:hAnsi="Times New Roman"/>
          <w:b w:val="0"/>
          <w:bCs/>
          <w:sz w:val="28"/>
          <w:szCs w:val="28"/>
        </w:rPr>
        <w:tab/>
      </w:r>
      <w:r w:rsidR="004E2EB9" w:rsidRPr="00607D84">
        <w:rPr>
          <w:rFonts w:ascii="Times New Roman" w:hAnsi="Times New Roman"/>
          <w:b w:val="0"/>
          <w:bCs/>
          <w:sz w:val="28"/>
          <w:szCs w:val="28"/>
        </w:rPr>
        <w:tab/>
      </w:r>
      <w:r w:rsidR="004E2EB9" w:rsidRPr="00607D84">
        <w:rPr>
          <w:rFonts w:ascii="Times New Roman" w:hAnsi="Times New Roman"/>
          <w:b w:val="0"/>
          <w:bCs/>
          <w:sz w:val="28"/>
          <w:szCs w:val="28"/>
        </w:rPr>
        <w:tab/>
      </w:r>
      <w:r w:rsidR="004E2EB9" w:rsidRPr="00607D84">
        <w:rPr>
          <w:rFonts w:ascii="Times New Roman" w:hAnsi="Times New Roman"/>
          <w:b w:val="0"/>
          <w:bCs/>
          <w:sz w:val="28"/>
          <w:szCs w:val="28"/>
        </w:rPr>
        <w:tab/>
        <w:t>: 1,3 kg/người/ngày.</w:t>
      </w:r>
    </w:p>
    <w:p w14:paraId="32926735" w14:textId="7777777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xml:space="preserve">- Tiêu chuẩn thông tin liên lạc </w:t>
      </w:r>
      <w:r w:rsidRPr="00607D84">
        <w:rPr>
          <w:rFonts w:ascii="Times New Roman" w:hAnsi="Times New Roman"/>
          <w:b w:val="0"/>
          <w:bCs/>
          <w:sz w:val="28"/>
          <w:szCs w:val="28"/>
        </w:rPr>
        <w:tab/>
      </w:r>
      <w:r w:rsidRPr="00607D84">
        <w:rPr>
          <w:rFonts w:ascii="Times New Roman" w:hAnsi="Times New Roman"/>
          <w:b w:val="0"/>
          <w:bCs/>
          <w:sz w:val="28"/>
          <w:szCs w:val="28"/>
        </w:rPr>
        <w:tab/>
      </w:r>
      <w:r w:rsidRPr="00607D84">
        <w:rPr>
          <w:rFonts w:ascii="Times New Roman" w:hAnsi="Times New Roman"/>
          <w:b w:val="0"/>
          <w:bCs/>
          <w:sz w:val="28"/>
          <w:szCs w:val="28"/>
        </w:rPr>
        <w:tab/>
        <w:t>: Theo chuyên ngành.</w:t>
      </w:r>
    </w:p>
    <w:p w14:paraId="358E2409" w14:textId="3BA319BF" w:rsidR="006D4B22" w:rsidRPr="00607D84" w:rsidRDefault="006D4B22"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bCs/>
          <w:sz w:val="28"/>
          <w:szCs w:val="28"/>
        </w:rPr>
        <w:t xml:space="preserve">5. </w:t>
      </w:r>
      <w:r w:rsidRPr="00607D84">
        <w:rPr>
          <w:rFonts w:ascii="Times New Roman" w:hAnsi="Times New Roman"/>
          <w:b w:val="0"/>
          <w:sz w:val="28"/>
          <w:szCs w:val="28"/>
          <w:lang w:val="nl-NL"/>
        </w:rPr>
        <w:t xml:space="preserve">Phân khu </w:t>
      </w:r>
      <w:r w:rsidR="004E2EB9" w:rsidRPr="00607D84">
        <w:rPr>
          <w:rFonts w:ascii="Times New Roman" w:hAnsi="Times New Roman"/>
          <w:b w:val="0"/>
          <w:sz w:val="28"/>
          <w:szCs w:val="28"/>
          <w:lang w:val="nl-NL"/>
        </w:rPr>
        <w:t>chức năng và cơ cấu sử dụng đất</w:t>
      </w:r>
    </w:p>
    <w:p w14:paraId="640B0E11" w14:textId="60C5290C" w:rsidR="006D4B22" w:rsidRPr="00607D84" w:rsidRDefault="004E2EB9" w:rsidP="00607D84">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 xml:space="preserve">a) Phân khu chức năng: </w:t>
      </w:r>
      <w:r w:rsidR="006D4B22" w:rsidRPr="00607D84">
        <w:rPr>
          <w:rFonts w:ascii="Times New Roman" w:hAnsi="Times New Roman"/>
          <w:b w:val="0"/>
          <w:sz w:val="28"/>
          <w:szCs w:val="28"/>
          <w:lang w:val="nl-NL"/>
        </w:rPr>
        <w:t xml:space="preserve">Khu vực quy hoạch có diện tích khoảng </w:t>
      </w:r>
      <w:r w:rsidR="006D4B22" w:rsidRPr="00607D84">
        <w:rPr>
          <w:rFonts w:ascii="Times New Roman" w:hAnsi="Times New Roman"/>
          <w:b w:val="0"/>
          <w:bCs/>
          <w:sz w:val="28"/>
          <w:szCs w:val="28"/>
        </w:rPr>
        <w:t>116.635</w:t>
      </w:r>
      <w:r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w:t>
      </w:r>
      <w:r w:rsidR="006D4B22" w:rsidRPr="00607D84">
        <w:rPr>
          <w:rFonts w:ascii="Times New Roman" w:hAnsi="Times New Roman"/>
          <w:b w:val="0"/>
          <w:bCs/>
          <w:sz w:val="28"/>
          <w:szCs w:val="28"/>
          <w:vertAlign w:val="superscript"/>
        </w:rPr>
        <w:t>2</w:t>
      </w:r>
      <w:r w:rsidR="006D4B22" w:rsidRPr="00607D84">
        <w:rPr>
          <w:rFonts w:ascii="Times New Roman" w:hAnsi="Times New Roman"/>
          <w:b w:val="0"/>
          <w:sz w:val="28"/>
          <w:szCs w:val="28"/>
          <w:lang w:val="nl-NL"/>
        </w:rPr>
        <w:t xml:space="preserve"> được phân thành:</w:t>
      </w:r>
    </w:p>
    <w:p w14:paraId="17278934" w14:textId="7777777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sz w:val="28"/>
          <w:szCs w:val="28"/>
          <w:lang w:val="nl-NL"/>
        </w:rPr>
        <w:t xml:space="preserve">- Phạm vi xây dựng </w:t>
      </w:r>
      <w:r w:rsidRPr="00607D84">
        <w:rPr>
          <w:rFonts w:ascii="Times New Roman" w:hAnsi="Times New Roman"/>
          <w:b w:val="0"/>
          <w:bCs/>
          <w:sz w:val="28"/>
          <w:szCs w:val="28"/>
        </w:rPr>
        <w:t>03 tuyến đường xung quanh trung tâm thương mại.</w:t>
      </w:r>
    </w:p>
    <w:p w14:paraId="62C7605D" w14:textId="7777777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Phạm vi xây dựng Trung tâm thương mại Hiệp Hòa, gồm: Trung tâm thương mại và khu vực sân đường, sân bãi, cây xanh thảm cỏ và các công trình phụ trợ - hạ tầng kỹ thuật khác kèm theo.</w:t>
      </w:r>
    </w:p>
    <w:p w14:paraId="4E98EB5D" w14:textId="5A4AA3C2"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b) Cơ cấu quy hoạch sử dụ</w:t>
      </w:r>
      <w:r w:rsidR="004E2EB9" w:rsidRPr="00607D84">
        <w:rPr>
          <w:rFonts w:ascii="Times New Roman" w:hAnsi="Times New Roman"/>
          <w:b w:val="0"/>
          <w:bCs/>
          <w:sz w:val="28"/>
          <w:szCs w:val="28"/>
        </w:rPr>
        <w:t xml:space="preserve">ng đất: </w:t>
      </w:r>
      <w:r w:rsidRPr="00607D84">
        <w:rPr>
          <w:rFonts w:ascii="Times New Roman" w:hAnsi="Times New Roman"/>
          <w:b w:val="0"/>
          <w:bCs/>
          <w:sz w:val="28"/>
          <w:szCs w:val="28"/>
        </w:rPr>
        <w:t>Tổng diện tích lập quy hoạch khoảng 116.635</w:t>
      </w:r>
      <w:r w:rsidR="004E2EB9" w:rsidRPr="00607D84">
        <w:rPr>
          <w:rFonts w:ascii="Times New Roman" w:hAnsi="Times New Roman"/>
          <w:b w:val="0"/>
          <w:bCs/>
          <w:sz w:val="28"/>
          <w:szCs w:val="28"/>
        </w:rPr>
        <w:t xml:space="preserve"> </w:t>
      </w:r>
      <w:r w:rsidRPr="00607D84">
        <w:rPr>
          <w:rFonts w:ascii="Times New Roman" w:hAnsi="Times New Roman"/>
          <w:b w:val="0"/>
          <w:bCs/>
          <w:sz w:val="28"/>
          <w:szCs w:val="28"/>
        </w:rPr>
        <w:t>m</w:t>
      </w:r>
      <w:r w:rsidRPr="00607D84">
        <w:rPr>
          <w:rFonts w:ascii="Times New Roman" w:hAnsi="Times New Roman"/>
          <w:b w:val="0"/>
          <w:bCs/>
          <w:sz w:val="28"/>
          <w:szCs w:val="28"/>
          <w:vertAlign w:val="superscript"/>
        </w:rPr>
        <w:t>2</w:t>
      </w:r>
      <w:r w:rsidRPr="00607D84">
        <w:rPr>
          <w:rFonts w:ascii="Times New Roman" w:hAnsi="Times New Roman"/>
          <w:b w:val="0"/>
          <w:bCs/>
          <w:sz w:val="28"/>
          <w:szCs w:val="28"/>
        </w:rPr>
        <w:t>, gồm các chức năng như sau:</w:t>
      </w:r>
    </w:p>
    <w:p w14:paraId="5B8A3AE8" w14:textId="0F84016E" w:rsidR="006D4B22" w:rsidRPr="00607D84" w:rsidRDefault="008928C5" w:rsidP="00607D84">
      <w:pPr>
        <w:widowControl w:val="0"/>
        <w:spacing w:before="120"/>
        <w:ind w:firstLine="567"/>
        <w:jc w:val="both"/>
        <w:rPr>
          <w:rFonts w:ascii="Times New Roman" w:hAnsi="Times New Roman"/>
          <w:b w:val="0"/>
          <w:bCs/>
          <w:sz w:val="28"/>
          <w:szCs w:val="28"/>
        </w:rPr>
      </w:pPr>
      <w:r>
        <w:rPr>
          <w:rFonts w:ascii="Times New Roman" w:hAnsi="Times New Roman"/>
          <w:b w:val="0"/>
          <w:bCs/>
          <w:sz w:val="28"/>
          <w:szCs w:val="28"/>
        </w:rPr>
        <w:t>- Đất thương mại, dịch vụ: K</w:t>
      </w:r>
      <w:r w:rsidR="006D4B22" w:rsidRPr="00607D84">
        <w:rPr>
          <w:rFonts w:ascii="Times New Roman" w:hAnsi="Times New Roman"/>
          <w:b w:val="0"/>
          <w:bCs/>
          <w:sz w:val="28"/>
          <w:szCs w:val="28"/>
        </w:rPr>
        <w:t>hoảng 100.994</w:t>
      </w:r>
      <w:r w:rsidR="004E2EB9"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w:t>
      </w:r>
      <w:r w:rsidR="006D4B22" w:rsidRPr="00607D84">
        <w:rPr>
          <w:rFonts w:ascii="Times New Roman" w:hAnsi="Times New Roman"/>
          <w:b w:val="0"/>
          <w:bCs/>
          <w:sz w:val="28"/>
          <w:szCs w:val="28"/>
          <w:vertAlign w:val="superscript"/>
        </w:rPr>
        <w:t>2</w:t>
      </w:r>
      <w:r>
        <w:rPr>
          <w:rFonts w:ascii="Times New Roman" w:hAnsi="Times New Roman"/>
          <w:b w:val="0"/>
          <w:bCs/>
          <w:sz w:val="28"/>
          <w:szCs w:val="28"/>
        </w:rPr>
        <w:t xml:space="preserve"> (đầu tư t</w:t>
      </w:r>
      <w:r w:rsidR="006D4B22" w:rsidRPr="00607D84">
        <w:rPr>
          <w:rFonts w:ascii="Times New Roman" w:hAnsi="Times New Roman"/>
          <w:b w:val="0"/>
          <w:bCs/>
          <w:sz w:val="28"/>
          <w:szCs w:val="28"/>
        </w:rPr>
        <w:t>rung tâm thương mại và khu vực sân đường, sân bãi, cây xanh thảm cỏ và các công trình phụ trợ - hạ tầng kỹ thuật khác kèm theo).</w:t>
      </w:r>
    </w:p>
    <w:p w14:paraId="6102B43D" w14:textId="4E6AA28C" w:rsidR="006D4B22" w:rsidRPr="00607D84" w:rsidRDefault="008928C5" w:rsidP="00607D84">
      <w:pPr>
        <w:widowControl w:val="0"/>
        <w:spacing w:before="120"/>
        <w:ind w:firstLine="567"/>
        <w:jc w:val="both"/>
        <w:rPr>
          <w:rFonts w:ascii="Times New Roman" w:hAnsi="Times New Roman"/>
          <w:b w:val="0"/>
          <w:bCs/>
          <w:sz w:val="28"/>
          <w:szCs w:val="28"/>
        </w:rPr>
      </w:pPr>
      <w:r>
        <w:rPr>
          <w:rFonts w:ascii="Times New Roman" w:hAnsi="Times New Roman"/>
          <w:b w:val="0"/>
          <w:bCs/>
          <w:sz w:val="28"/>
          <w:szCs w:val="28"/>
        </w:rPr>
        <w:t>- Đất giao thông: K</w:t>
      </w:r>
      <w:r w:rsidR="006D4B22" w:rsidRPr="00607D84">
        <w:rPr>
          <w:rFonts w:ascii="Times New Roman" w:hAnsi="Times New Roman"/>
          <w:b w:val="0"/>
          <w:bCs/>
          <w:sz w:val="28"/>
          <w:szCs w:val="28"/>
        </w:rPr>
        <w:t>hoảng 15.641</w:t>
      </w:r>
      <w:r w:rsidR="004E2EB9"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w:t>
      </w:r>
      <w:r w:rsidR="006D4B22" w:rsidRPr="00607D84">
        <w:rPr>
          <w:rFonts w:ascii="Times New Roman" w:hAnsi="Times New Roman"/>
          <w:b w:val="0"/>
          <w:bCs/>
          <w:sz w:val="28"/>
          <w:szCs w:val="28"/>
          <w:vertAlign w:val="superscript"/>
        </w:rPr>
        <w:t>2</w:t>
      </w:r>
      <w:r w:rsidR="006D4B22" w:rsidRPr="00607D84">
        <w:rPr>
          <w:rFonts w:ascii="Times New Roman" w:hAnsi="Times New Roman"/>
          <w:b w:val="0"/>
          <w:bCs/>
          <w:sz w:val="28"/>
          <w:szCs w:val="28"/>
        </w:rPr>
        <w:t xml:space="preserve"> (đầu tư xây dựng 03 tuyến đường xung quanh Đất thương mại, dịch vụ để bàn giao cho nhà nước quản lý, sử dụng sau khi hoàn thành).</w:t>
      </w:r>
    </w:p>
    <w:p w14:paraId="3FC97FD2" w14:textId="77777777" w:rsidR="006D4B22" w:rsidRPr="00607D84" w:rsidRDefault="006D4B22" w:rsidP="00607D84">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Bảng chi tiết cơ cấu sử dụng đất:</w:t>
      </w:r>
    </w:p>
    <w:tbl>
      <w:tblPr>
        <w:tblW w:w="96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499"/>
        <w:gridCol w:w="1448"/>
        <w:gridCol w:w="1932"/>
      </w:tblGrid>
      <w:tr w:rsidR="00607D84" w:rsidRPr="00607D84" w14:paraId="79BFB3C4" w14:textId="77777777" w:rsidTr="00580CDA">
        <w:trPr>
          <w:trHeight w:val="430"/>
        </w:trPr>
        <w:tc>
          <w:tcPr>
            <w:tcW w:w="733" w:type="dxa"/>
            <w:shd w:val="clear" w:color="auto" w:fill="auto"/>
            <w:vAlign w:val="center"/>
            <w:hideMark/>
          </w:tcPr>
          <w:p w14:paraId="30397834" w14:textId="7FC08F3A" w:rsidR="006D4B22" w:rsidRPr="00607D84" w:rsidRDefault="00607D84" w:rsidP="00580CDA">
            <w:pPr>
              <w:spacing w:before="40" w:after="40"/>
              <w:jc w:val="center"/>
              <w:rPr>
                <w:rFonts w:ascii="Times New Roman" w:hAnsi="Times New Roman"/>
                <w:b w:val="0"/>
                <w:szCs w:val="26"/>
              </w:rPr>
            </w:pPr>
            <w:r w:rsidRPr="00607D84">
              <w:rPr>
                <w:rFonts w:ascii="Times New Roman" w:hAnsi="Times New Roman"/>
                <w:b w:val="0"/>
                <w:szCs w:val="26"/>
              </w:rPr>
              <w:lastRenderedPageBreak/>
              <w:t>STT</w:t>
            </w:r>
          </w:p>
        </w:tc>
        <w:tc>
          <w:tcPr>
            <w:tcW w:w="5499" w:type="dxa"/>
            <w:shd w:val="clear" w:color="auto" w:fill="auto"/>
            <w:vAlign w:val="center"/>
            <w:hideMark/>
          </w:tcPr>
          <w:p w14:paraId="27C51F5C" w14:textId="77777777" w:rsidR="006D4B22" w:rsidRPr="00607D84" w:rsidRDefault="006D4B22" w:rsidP="00580CDA">
            <w:pPr>
              <w:spacing w:before="40" w:after="40"/>
              <w:jc w:val="center"/>
              <w:rPr>
                <w:rFonts w:ascii="Times New Roman" w:hAnsi="Times New Roman"/>
                <w:b w:val="0"/>
                <w:szCs w:val="26"/>
              </w:rPr>
            </w:pPr>
            <w:r w:rsidRPr="00607D84">
              <w:rPr>
                <w:rFonts w:ascii="Times New Roman" w:hAnsi="Times New Roman"/>
                <w:b w:val="0"/>
                <w:szCs w:val="26"/>
              </w:rPr>
              <w:t>Hạng mục</w:t>
            </w:r>
          </w:p>
        </w:tc>
        <w:tc>
          <w:tcPr>
            <w:tcW w:w="1448" w:type="dxa"/>
            <w:shd w:val="clear" w:color="auto" w:fill="auto"/>
            <w:vAlign w:val="center"/>
            <w:hideMark/>
          </w:tcPr>
          <w:p w14:paraId="5050D64D" w14:textId="77777777" w:rsidR="006D4B22" w:rsidRPr="00607D84" w:rsidRDefault="006D4B22" w:rsidP="00580CDA">
            <w:pPr>
              <w:spacing w:before="40" w:after="40"/>
              <w:jc w:val="center"/>
              <w:rPr>
                <w:rFonts w:ascii="Times New Roman" w:hAnsi="Times New Roman"/>
                <w:b w:val="0"/>
                <w:szCs w:val="26"/>
              </w:rPr>
            </w:pPr>
            <w:r w:rsidRPr="00607D84">
              <w:rPr>
                <w:rFonts w:ascii="Times New Roman" w:hAnsi="Times New Roman"/>
                <w:b w:val="0"/>
                <w:szCs w:val="26"/>
              </w:rPr>
              <w:t>Diện tích đất sử dụng (m²)</w:t>
            </w:r>
          </w:p>
        </w:tc>
        <w:tc>
          <w:tcPr>
            <w:tcW w:w="1932" w:type="dxa"/>
            <w:vAlign w:val="center"/>
          </w:tcPr>
          <w:p w14:paraId="483A258F" w14:textId="77777777" w:rsidR="006D4B22" w:rsidRPr="00607D84" w:rsidRDefault="006D4B22" w:rsidP="00580CDA">
            <w:pPr>
              <w:spacing w:before="40" w:after="40"/>
              <w:jc w:val="center"/>
              <w:rPr>
                <w:rFonts w:ascii="Times New Roman" w:hAnsi="Times New Roman"/>
                <w:b w:val="0"/>
                <w:szCs w:val="26"/>
              </w:rPr>
            </w:pPr>
            <w:r w:rsidRPr="00607D84">
              <w:rPr>
                <w:rFonts w:ascii="Times New Roman" w:hAnsi="Times New Roman"/>
                <w:b w:val="0"/>
                <w:szCs w:val="26"/>
              </w:rPr>
              <w:t>Ghi chú</w:t>
            </w:r>
          </w:p>
        </w:tc>
      </w:tr>
      <w:tr w:rsidR="00607D84" w:rsidRPr="00607D84" w14:paraId="5368ED39" w14:textId="77777777" w:rsidTr="00580CDA">
        <w:trPr>
          <w:trHeight w:val="191"/>
        </w:trPr>
        <w:tc>
          <w:tcPr>
            <w:tcW w:w="733" w:type="dxa"/>
            <w:shd w:val="clear" w:color="auto" w:fill="auto"/>
            <w:vAlign w:val="center"/>
            <w:hideMark/>
          </w:tcPr>
          <w:p w14:paraId="4A6057B8" w14:textId="77777777" w:rsidR="006D4B22" w:rsidRPr="00607D84" w:rsidRDefault="006D4B22" w:rsidP="00580CDA">
            <w:pPr>
              <w:spacing w:before="40" w:after="40"/>
              <w:jc w:val="center"/>
              <w:rPr>
                <w:rFonts w:ascii="Times New Roman" w:hAnsi="Times New Roman"/>
                <w:b w:val="0"/>
                <w:bCs/>
                <w:szCs w:val="26"/>
              </w:rPr>
            </w:pPr>
            <w:r w:rsidRPr="00607D84">
              <w:rPr>
                <w:rFonts w:ascii="Times New Roman" w:hAnsi="Times New Roman"/>
                <w:b w:val="0"/>
                <w:bCs/>
                <w:szCs w:val="26"/>
              </w:rPr>
              <w:t>A</w:t>
            </w:r>
          </w:p>
        </w:tc>
        <w:tc>
          <w:tcPr>
            <w:tcW w:w="5499" w:type="dxa"/>
            <w:shd w:val="clear" w:color="auto" w:fill="auto"/>
            <w:vAlign w:val="center"/>
            <w:hideMark/>
          </w:tcPr>
          <w:p w14:paraId="6D120EE0" w14:textId="77777777" w:rsidR="006D4B22" w:rsidRPr="00607D84" w:rsidRDefault="006D4B22" w:rsidP="00580CDA">
            <w:pPr>
              <w:spacing w:before="40" w:after="40"/>
              <w:jc w:val="both"/>
              <w:rPr>
                <w:rFonts w:ascii="Times New Roman" w:hAnsi="Times New Roman"/>
                <w:b w:val="0"/>
                <w:bCs/>
                <w:szCs w:val="26"/>
              </w:rPr>
            </w:pPr>
            <w:r w:rsidRPr="00607D84">
              <w:rPr>
                <w:rFonts w:ascii="Times New Roman" w:hAnsi="Times New Roman"/>
                <w:b w:val="0"/>
                <w:bCs/>
                <w:szCs w:val="26"/>
              </w:rPr>
              <w:t>Đất giao thông (đầu tư xây dựng 03 tuyến đường xung quanh Đất thương mại, dịch vụ để bàn giao cho nhà nước quản lý, sử dụng sau khi hoàn thành)</w:t>
            </w:r>
          </w:p>
        </w:tc>
        <w:tc>
          <w:tcPr>
            <w:tcW w:w="1448" w:type="dxa"/>
            <w:shd w:val="clear" w:color="auto" w:fill="auto"/>
            <w:vAlign w:val="center"/>
            <w:hideMark/>
          </w:tcPr>
          <w:p w14:paraId="68D189D4" w14:textId="77777777" w:rsidR="006D4B22" w:rsidRPr="00607D84" w:rsidRDefault="006D4B22" w:rsidP="00580CDA">
            <w:pPr>
              <w:spacing w:before="40" w:after="40"/>
              <w:jc w:val="right"/>
              <w:rPr>
                <w:rFonts w:ascii="Times New Roman" w:hAnsi="Times New Roman"/>
                <w:b w:val="0"/>
                <w:bCs/>
                <w:szCs w:val="26"/>
              </w:rPr>
            </w:pPr>
            <w:r w:rsidRPr="00607D84">
              <w:rPr>
                <w:rFonts w:ascii="Times New Roman" w:hAnsi="Times New Roman"/>
                <w:b w:val="0"/>
                <w:bCs/>
                <w:szCs w:val="26"/>
              </w:rPr>
              <w:t>15.641</w:t>
            </w:r>
          </w:p>
        </w:tc>
        <w:tc>
          <w:tcPr>
            <w:tcW w:w="1932" w:type="dxa"/>
            <w:vAlign w:val="center"/>
          </w:tcPr>
          <w:p w14:paraId="49A17DEE" w14:textId="77777777" w:rsidR="006D4B22" w:rsidRPr="00607D84" w:rsidRDefault="006D4B22" w:rsidP="00580CDA">
            <w:pPr>
              <w:spacing w:before="40" w:after="40"/>
              <w:jc w:val="both"/>
              <w:rPr>
                <w:rFonts w:ascii="Times New Roman" w:hAnsi="Times New Roman"/>
                <w:b w:val="0"/>
                <w:bCs/>
                <w:szCs w:val="26"/>
              </w:rPr>
            </w:pPr>
            <w:r w:rsidRPr="00607D84">
              <w:rPr>
                <w:rFonts w:ascii="Times New Roman" w:hAnsi="Times New Roman"/>
                <w:b w:val="0"/>
                <w:szCs w:val="26"/>
              </w:rPr>
              <w:t>Nhà đầu tư thực hiện và bàn giao cho địa phương</w:t>
            </w:r>
          </w:p>
        </w:tc>
      </w:tr>
      <w:tr w:rsidR="00607D84" w:rsidRPr="00607D84" w14:paraId="32B3EE62" w14:textId="77777777" w:rsidTr="00580CDA">
        <w:trPr>
          <w:trHeight w:val="276"/>
        </w:trPr>
        <w:tc>
          <w:tcPr>
            <w:tcW w:w="733" w:type="dxa"/>
            <w:shd w:val="clear" w:color="auto" w:fill="auto"/>
            <w:vAlign w:val="center"/>
            <w:hideMark/>
          </w:tcPr>
          <w:p w14:paraId="7B6194C5" w14:textId="77777777" w:rsidR="006D4B22" w:rsidRPr="00607D84" w:rsidRDefault="006D4B22" w:rsidP="00580CDA">
            <w:pPr>
              <w:spacing w:before="40" w:after="40"/>
              <w:jc w:val="center"/>
              <w:rPr>
                <w:rFonts w:ascii="Times New Roman" w:hAnsi="Times New Roman"/>
                <w:b w:val="0"/>
                <w:bCs/>
                <w:szCs w:val="26"/>
              </w:rPr>
            </w:pPr>
            <w:r w:rsidRPr="00607D84">
              <w:rPr>
                <w:rFonts w:ascii="Times New Roman" w:hAnsi="Times New Roman"/>
                <w:b w:val="0"/>
                <w:bCs/>
                <w:szCs w:val="26"/>
              </w:rPr>
              <w:t>B</w:t>
            </w:r>
          </w:p>
        </w:tc>
        <w:tc>
          <w:tcPr>
            <w:tcW w:w="5499" w:type="dxa"/>
            <w:shd w:val="clear" w:color="auto" w:fill="auto"/>
            <w:vAlign w:val="center"/>
            <w:hideMark/>
          </w:tcPr>
          <w:p w14:paraId="69954D70" w14:textId="77777777" w:rsidR="006D4B22" w:rsidRPr="00607D84" w:rsidRDefault="006D4B22" w:rsidP="00580CDA">
            <w:pPr>
              <w:spacing w:before="40" w:after="40"/>
              <w:jc w:val="both"/>
              <w:rPr>
                <w:rFonts w:ascii="Times New Roman" w:hAnsi="Times New Roman"/>
                <w:b w:val="0"/>
                <w:bCs/>
                <w:szCs w:val="26"/>
              </w:rPr>
            </w:pPr>
            <w:r w:rsidRPr="00607D84">
              <w:rPr>
                <w:rFonts w:ascii="Times New Roman" w:hAnsi="Times New Roman"/>
                <w:b w:val="0"/>
                <w:bCs/>
                <w:szCs w:val="26"/>
              </w:rPr>
              <w:t>Đất thương mại, dịch vụ</w:t>
            </w:r>
          </w:p>
        </w:tc>
        <w:tc>
          <w:tcPr>
            <w:tcW w:w="1448" w:type="dxa"/>
            <w:shd w:val="clear" w:color="auto" w:fill="auto"/>
            <w:vAlign w:val="center"/>
            <w:hideMark/>
          </w:tcPr>
          <w:p w14:paraId="1FC8B5E7" w14:textId="77777777" w:rsidR="006D4B22" w:rsidRPr="00607D84" w:rsidRDefault="006D4B22" w:rsidP="00580CDA">
            <w:pPr>
              <w:spacing w:before="40" w:after="40"/>
              <w:jc w:val="right"/>
              <w:rPr>
                <w:rFonts w:ascii="Times New Roman" w:hAnsi="Times New Roman"/>
                <w:b w:val="0"/>
                <w:bCs/>
                <w:szCs w:val="26"/>
              </w:rPr>
            </w:pPr>
            <w:r w:rsidRPr="00607D84">
              <w:rPr>
                <w:rFonts w:ascii="Times New Roman" w:hAnsi="Times New Roman"/>
                <w:b w:val="0"/>
                <w:bCs/>
                <w:szCs w:val="26"/>
              </w:rPr>
              <w:t>100.994</w:t>
            </w:r>
          </w:p>
        </w:tc>
        <w:tc>
          <w:tcPr>
            <w:tcW w:w="1932" w:type="dxa"/>
            <w:vAlign w:val="center"/>
          </w:tcPr>
          <w:p w14:paraId="71F72E30" w14:textId="77777777" w:rsidR="006D4B22" w:rsidRPr="00607D84" w:rsidRDefault="006D4B22" w:rsidP="00580CDA">
            <w:pPr>
              <w:spacing w:before="40" w:after="40"/>
              <w:jc w:val="both"/>
              <w:rPr>
                <w:rFonts w:ascii="Times New Roman" w:hAnsi="Times New Roman"/>
                <w:b w:val="0"/>
                <w:bCs/>
                <w:szCs w:val="26"/>
              </w:rPr>
            </w:pPr>
          </w:p>
        </w:tc>
      </w:tr>
      <w:tr w:rsidR="00607D84" w:rsidRPr="00607D84" w14:paraId="7C1234C7" w14:textId="77777777" w:rsidTr="00580CDA">
        <w:trPr>
          <w:trHeight w:val="70"/>
        </w:trPr>
        <w:tc>
          <w:tcPr>
            <w:tcW w:w="733" w:type="dxa"/>
            <w:shd w:val="clear" w:color="auto" w:fill="auto"/>
            <w:vAlign w:val="center"/>
            <w:hideMark/>
          </w:tcPr>
          <w:p w14:paraId="3BCD04B0" w14:textId="77777777" w:rsidR="006D4B22" w:rsidRPr="00607D84" w:rsidRDefault="006D4B22" w:rsidP="00580CDA">
            <w:pPr>
              <w:spacing w:before="40" w:after="40"/>
              <w:jc w:val="center"/>
              <w:rPr>
                <w:rFonts w:ascii="Times New Roman" w:hAnsi="Times New Roman"/>
                <w:b w:val="0"/>
                <w:szCs w:val="26"/>
              </w:rPr>
            </w:pPr>
            <w:r w:rsidRPr="00607D84">
              <w:rPr>
                <w:rFonts w:ascii="Times New Roman" w:hAnsi="Times New Roman"/>
                <w:b w:val="0"/>
                <w:szCs w:val="26"/>
              </w:rPr>
              <w:t> </w:t>
            </w:r>
          </w:p>
        </w:tc>
        <w:tc>
          <w:tcPr>
            <w:tcW w:w="5499" w:type="dxa"/>
            <w:shd w:val="clear" w:color="auto" w:fill="auto"/>
            <w:vAlign w:val="center"/>
            <w:hideMark/>
          </w:tcPr>
          <w:p w14:paraId="43399AAC" w14:textId="77777777" w:rsidR="006D4B22" w:rsidRPr="00607D84" w:rsidRDefault="006D4B22" w:rsidP="00580CDA">
            <w:pPr>
              <w:spacing w:before="40" w:after="40"/>
              <w:jc w:val="both"/>
              <w:rPr>
                <w:rFonts w:ascii="Times New Roman" w:hAnsi="Times New Roman"/>
                <w:b w:val="0"/>
                <w:szCs w:val="26"/>
              </w:rPr>
            </w:pPr>
            <w:r w:rsidRPr="00607D84">
              <w:rPr>
                <w:rFonts w:ascii="Times New Roman" w:hAnsi="Times New Roman"/>
                <w:b w:val="0"/>
                <w:szCs w:val="26"/>
              </w:rPr>
              <w:t>Tổng cộng</w:t>
            </w:r>
          </w:p>
        </w:tc>
        <w:tc>
          <w:tcPr>
            <w:tcW w:w="1448" w:type="dxa"/>
            <w:shd w:val="clear" w:color="auto" w:fill="auto"/>
            <w:vAlign w:val="center"/>
            <w:hideMark/>
          </w:tcPr>
          <w:p w14:paraId="13EF7DF2" w14:textId="77777777" w:rsidR="006D4B22" w:rsidRPr="00607D84" w:rsidRDefault="006D4B22" w:rsidP="00580CDA">
            <w:pPr>
              <w:spacing w:before="40" w:after="40"/>
              <w:jc w:val="right"/>
              <w:rPr>
                <w:rFonts w:ascii="Times New Roman" w:hAnsi="Times New Roman"/>
                <w:b w:val="0"/>
                <w:szCs w:val="26"/>
              </w:rPr>
            </w:pPr>
            <w:r w:rsidRPr="00607D84">
              <w:rPr>
                <w:rFonts w:ascii="Times New Roman" w:hAnsi="Times New Roman"/>
                <w:b w:val="0"/>
                <w:szCs w:val="26"/>
              </w:rPr>
              <w:t>116.635</w:t>
            </w:r>
          </w:p>
        </w:tc>
        <w:tc>
          <w:tcPr>
            <w:tcW w:w="1932" w:type="dxa"/>
            <w:vAlign w:val="center"/>
          </w:tcPr>
          <w:p w14:paraId="65BF6F00" w14:textId="77777777" w:rsidR="006D4B22" w:rsidRPr="00607D84" w:rsidRDefault="006D4B22" w:rsidP="00580CDA">
            <w:pPr>
              <w:spacing w:before="40" w:after="40"/>
              <w:jc w:val="both"/>
              <w:rPr>
                <w:rFonts w:ascii="Times New Roman" w:hAnsi="Times New Roman"/>
                <w:b w:val="0"/>
                <w:szCs w:val="26"/>
              </w:rPr>
            </w:pPr>
          </w:p>
        </w:tc>
      </w:tr>
    </w:tbl>
    <w:p w14:paraId="617FB811" w14:textId="77777777" w:rsidR="006D4B22" w:rsidRPr="00607D84" w:rsidRDefault="006D4B22" w:rsidP="00DC3C80">
      <w:pPr>
        <w:widowControl w:val="0"/>
        <w:spacing w:before="120" w:after="120"/>
        <w:ind w:firstLine="567"/>
        <w:jc w:val="both"/>
        <w:rPr>
          <w:rFonts w:ascii="Times New Roman" w:hAnsi="Times New Roman"/>
          <w:b w:val="0"/>
          <w:sz w:val="28"/>
          <w:szCs w:val="28"/>
        </w:rPr>
      </w:pPr>
      <w:r w:rsidRPr="00607D84">
        <w:rPr>
          <w:rFonts w:ascii="Times New Roman" w:hAnsi="Times New Roman"/>
          <w:b w:val="0"/>
          <w:bCs/>
          <w:sz w:val="28"/>
          <w:szCs w:val="28"/>
        </w:rPr>
        <w:t xml:space="preserve">- </w:t>
      </w:r>
      <w:r w:rsidRPr="00607D84">
        <w:rPr>
          <w:rFonts w:ascii="Times New Roman" w:hAnsi="Times New Roman"/>
          <w:b w:val="0"/>
          <w:sz w:val="28"/>
          <w:szCs w:val="28"/>
        </w:rPr>
        <w:t>Bảng thông số kỹ thuật dự kiến của khu đất xây dựng trung tâm thương mại: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061"/>
        <w:gridCol w:w="1481"/>
        <w:gridCol w:w="1277"/>
      </w:tblGrid>
      <w:tr w:rsidR="00607D84" w:rsidRPr="00607D84" w14:paraId="00DF7D66" w14:textId="77777777" w:rsidTr="00580CDA">
        <w:trPr>
          <w:trHeight w:val="397"/>
        </w:trPr>
        <w:tc>
          <w:tcPr>
            <w:tcW w:w="679" w:type="dxa"/>
            <w:shd w:val="clear" w:color="auto" w:fill="auto"/>
            <w:vAlign w:val="center"/>
            <w:hideMark/>
          </w:tcPr>
          <w:p w14:paraId="7BC55517" w14:textId="0A07FAB5" w:rsidR="006D4B22" w:rsidRPr="00607D84" w:rsidRDefault="00607D84" w:rsidP="00580CDA">
            <w:pPr>
              <w:spacing w:line="276" w:lineRule="auto"/>
              <w:jc w:val="center"/>
              <w:rPr>
                <w:rFonts w:ascii="Times New Roman" w:hAnsi="Times New Roman"/>
                <w:b w:val="0"/>
                <w:bCs/>
                <w:szCs w:val="26"/>
              </w:rPr>
            </w:pPr>
            <w:r w:rsidRPr="00607D84">
              <w:rPr>
                <w:rFonts w:ascii="Times New Roman" w:hAnsi="Times New Roman"/>
                <w:b w:val="0"/>
                <w:bCs/>
                <w:szCs w:val="26"/>
              </w:rPr>
              <w:t>STT</w:t>
            </w:r>
          </w:p>
        </w:tc>
        <w:tc>
          <w:tcPr>
            <w:tcW w:w="6061" w:type="dxa"/>
            <w:shd w:val="clear" w:color="auto" w:fill="auto"/>
            <w:noWrap/>
            <w:vAlign w:val="center"/>
            <w:hideMark/>
          </w:tcPr>
          <w:p w14:paraId="5C5E494B" w14:textId="77777777" w:rsidR="006D4B22" w:rsidRPr="00607D84" w:rsidRDefault="006D4B22" w:rsidP="00580CDA">
            <w:pPr>
              <w:spacing w:line="276" w:lineRule="auto"/>
              <w:jc w:val="center"/>
              <w:rPr>
                <w:rFonts w:ascii="Times New Roman" w:hAnsi="Times New Roman"/>
                <w:b w:val="0"/>
                <w:bCs/>
                <w:szCs w:val="26"/>
              </w:rPr>
            </w:pPr>
            <w:r w:rsidRPr="00607D84">
              <w:rPr>
                <w:rFonts w:ascii="Times New Roman" w:hAnsi="Times New Roman"/>
                <w:b w:val="0"/>
                <w:bCs/>
                <w:szCs w:val="26"/>
              </w:rPr>
              <w:t>Chức năng</w:t>
            </w:r>
          </w:p>
        </w:tc>
        <w:tc>
          <w:tcPr>
            <w:tcW w:w="1481" w:type="dxa"/>
            <w:shd w:val="clear" w:color="auto" w:fill="auto"/>
            <w:vAlign w:val="center"/>
            <w:hideMark/>
          </w:tcPr>
          <w:p w14:paraId="282E987E" w14:textId="77777777" w:rsidR="006D4B22" w:rsidRPr="00607D84" w:rsidRDefault="006D4B22" w:rsidP="00580CDA">
            <w:pPr>
              <w:spacing w:line="276" w:lineRule="auto"/>
              <w:jc w:val="center"/>
              <w:rPr>
                <w:rFonts w:ascii="Times New Roman" w:hAnsi="Times New Roman"/>
                <w:b w:val="0"/>
                <w:bCs/>
                <w:szCs w:val="26"/>
              </w:rPr>
            </w:pPr>
            <w:r w:rsidRPr="00607D84">
              <w:rPr>
                <w:rFonts w:ascii="Times New Roman" w:hAnsi="Times New Roman"/>
                <w:b w:val="0"/>
                <w:bCs/>
                <w:szCs w:val="26"/>
              </w:rPr>
              <w:t>Diện tích</w:t>
            </w:r>
            <w:r w:rsidRPr="00607D84">
              <w:rPr>
                <w:rFonts w:ascii="Times New Roman" w:hAnsi="Times New Roman"/>
                <w:b w:val="0"/>
                <w:bCs/>
                <w:szCs w:val="26"/>
              </w:rPr>
              <w:br/>
              <w:t>(m</w:t>
            </w:r>
            <w:r w:rsidRPr="00607D84">
              <w:rPr>
                <w:rFonts w:ascii="Times New Roman" w:hAnsi="Times New Roman"/>
                <w:b w:val="0"/>
                <w:bCs/>
                <w:szCs w:val="26"/>
                <w:lang w:val="vi-VN"/>
              </w:rPr>
              <w:t>²</w:t>
            </w:r>
            <w:r w:rsidRPr="00607D84">
              <w:rPr>
                <w:rFonts w:ascii="Times New Roman" w:hAnsi="Times New Roman"/>
                <w:b w:val="0"/>
                <w:bCs/>
                <w:szCs w:val="26"/>
              </w:rPr>
              <w:t>)</w:t>
            </w:r>
          </w:p>
        </w:tc>
        <w:tc>
          <w:tcPr>
            <w:tcW w:w="1277" w:type="dxa"/>
            <w:shd w:val="clear" w:color="auto" w:fill="auto"/>
            <w:vAlign w:val="center"/>
            <w:hideMark/>
          </w:tcPr>
          <w:p w14:paraId="1E9CCFE0" w14:textId="77777777" w:rsidR="006D4B22" w:rsidRPr="00607D84" w:rsidRDefault="006D4B22" w:rsidP="00580CDA">
            <w:pPr>
              <w:spacing w:line="276" w:lineRule="auto"/>
              <w:jc w:val="center"/>
              <w:rPr>
                <w:rFonts w:ascii="Times New Roman" w:hAnsi="Times New Roman"/>
                <w:b w:val="0"/>
                <w:bCs/>
                <w:szCs w:val="26"/>
              </w:rPr>
            </w:pPr>
            <w:r w:rsidRPr="00607D84">
              <w:rPr>
                <w:rFonts w:ascii="Times New Roman" w:hAnsi="Times New Roman"/>
                <w:b w:val="0"/>
                <w:bCs/>
                <w:szCs w:val="26"/>
              </w:rPr>
              <w:t>Tỷ lệ</w:t>
            </w:r>
            <w:r w:rsidRPr="00607D84">
              <w:rPr>
                <w:rFonts w:ascii="Times New Roman" w:hAnsi="Times New Roman"/>
                <w:b w:val="0"/>
                <w:bCs/>
                <w:szCs w:val="26"/>
              </w:rPr>
              <w:br/>
              <w:t>(%)</w:t>
            </w:r>
          </w:p>
        </w:tc>
      </w:tr>
      <w:tr w:rsidR="00607D84" w:rsidRPr="00607D84" w14:paraId="2535D728" w14:textId="77777777" w:rsidTr="00580CDA">
        <w:trPr>
          <w:trHeight w:val="397"/>
        </w:trPr>
        <w:tc>
          <w:tcPr>
            <w:tcW w:w="679" w:type="dxa"/>
            <w:shd w:val="clear" w:color="auto" w:fill="auto"/>
            <w:vAlign w:val="center"/>
            <w:hideMark/>
          </w:tcPr>
          <w:p w14:paraId="18DA6E4D" w14:textId="77777777" w:rsidR="006D4B22" w:rsidRPr="00607D84" w:rsidRDefault="006D4B22" w:rsidP="00580CDA">
            <w:pPr>
              <w:spacing w:line="276" w:lineRule="auto"/>
              <w:jc w:val="center"/>
              <w:rPr>
                <w:rFonts w:ascii="Times New Roman" w:hAnsi="Times New Roman"/>
                <w:b w:val="0"/>
                <w:bCs/>
                <w:szCs w:val="26"/>
              </w:rPr>
            </w:pPr>
          </w:p>
        </w:tc>
        <w:tc>
          <w:tcPr>
            <w:tcW w:w="6061" w:type="dxa"/>
            <w:shd w:val="clear" w:color="auto" w:fill="auto"/>
            <w:noWrap/>
            <w:vAlign w:val="center"/>
            <w:hideMark/>
          </w:tcPr>
          <w:p w14:paraId="0EC634F4" w14:textId="78C02D2D" w:rsidR="006D4B22" w:rsidRPr="00607D84" w:rsidRDefault="008928C5" w:rsidP="00580CDA">
            <w:pPr>
              <w:spacing w:line="276" w:lineRule="auto"/>
              <w:jc w:val="both"/>
              <w:rPr>
                <w:rFonts w:ascii="Times New Roman" w:hAnsi="Times New Roman"/>
                <w:b w:val="0"/>
                <w:bCs/>
                <w:szCs w:val="26"/>
              </w:rPr>
            </w:pPr>
            <w:r>
              <w:rPr>
                <w:rFonts w:ascii="Times New Roman" w:hAnsi="Times New Roman"/>
                <w:b w:val="0"/>
                <w:bCs/>
                <w:szCs w:val="26"/>
              </w:rPr>
              <w:t>Diện tích khu đất xây dựng t</w:t>
            </w:r>
            <w:r w:rsidR="006D4B22" w:rsidRPr="00607D84">
              <w:rPr>
                <w:rFonts w:ascii="Times New Roman" w:hAnsi="Times New Roman"/>
                <w:b w:val="0"/>
                <w:bCs/>
                <w:szCs w:val="26"/>
              </w:rPr>
              <w:t>rung tâm thương mại</w:t>
            </w:r>
          </w:p>
        </w:tc>
        <w:tc>
          <w:tcPr>
            <w:tcW w:w="1481" w:type="dxa"/>
            <w:shd w:val="clear" w:color="auto" w:fill="auto"/>
            <w:vAlign w:val="center"/>
            <w:hideMark/>
          </w:tcPr>
          <w:p w14:paraId="64EA1D5D" w14:textId="77777777" w:rsidR="006D4B22" w:rsidRPr="00607D84" w:rsidRDefault="006D4B22" w:rsidP="00580CDA">
            <w:pPr>
              <w:spacing w:line="276" w:lineRule="auto"/>
              <w:jc w:val="right"/>
              <w:rPr>
                <w:rFonts w:ascii="Times New Roman" w:hAnsi="Times New Roman"/>
                <w:b w:val="0"/>
                <w:bCs/>
                <w:szCs w:val="26"/>
              </w:rPr>
            </w:pPr>
            <w:r w:rsidRPr="00607D84">
              <w:rPr>
                <w:rFonts w:ascii="Times New Roman" w:hAnsi="Times New Roman"/>
                <w:b w:val="0"/>
                <w:bCs/>
                <w:szCs w:val="26"/>
              </w:rPr>
              <w:t>100.994</w:t>
            </w:r>
          </w:p>
        </w:tc>
        <w:tc>
          <w:tcPr>
            <w:tcW w:w="1277" w:type="dxa"/>
            <w:shd w:val="clear" w:color="auto" w:fill="auto"/>
            <w:noWrap/>
            <w:vAlign w:val="center"/>
            <w:hideMark/>
          </w:tcPr>
          <w:p w14:paraId="04755B22" w14:textId="77777777" w:rsidR="006D4B22" w:rsidRPr="00607D84" w:rsidRDefault="006D4B22" w:rsidP="00580CDA">
            <w:pPr>
              <w:spacing w:line="276" w:lineRule="auto"/>
              <w:jc w:val="right"/>
              <w:rPr>
                <w:rFonts w:ascii="Times New Roman" w:hAnsi="Times New Roman"/>
                <w:b w:val="0"/>
                <w:bCs/>
                <w:szCs w:val="26"/>
              </w:rPr>
            </w:pPr>
            <w:r w:rsidRPr="00607D84">
              <w:rPr>
                <w:rFonts w:ascii="Times New Roman" w:hAnsi="Times New Roman"/>
                <w:b w:val="0"/>
                <w:bCs/>
                <w:szCs w:val="26"/>
              </w:rPr>
              <w:t>100,0</w:t>
            </w:r>
          </w:p>
        </w:tc>
      </w:tr>
      <w:tr w:rsidR="00607D84" w:rsidRPr="00607D84" w14:paraId="11706CDC" w14:textId="77777777" w:rsidTr="00580CDA">
        <w:trPr>
          <w:trHeight w:val="397"/>
        </w:trPr>
        <w:tc>
          <w:tcPr>
            <w:tcW w:w="679" w:type="dxa"/>
            <w:shd w:val="clear" w:color="auto" w:fill="auto"/>
            <w:noWrap/>
            <w:vAlign w:val="center"/>
          </w:tcPr>
          <w:p w14:paraId="1D8BEF07" w14:textId="77777777" w:rsidR="006D4B22" w:rsidRPr="00607D84" w:rsidRDefault="006D4B22" w:rsidP="00580CDA">
            <w:pPr>
              <w:spacing w:line="276" w:lineRule="auto"/>
              <w:jc w:val="center"/>
              <w:rPr>
                <w:rFonts w:ascii="Times New Roman" w:hAnsi="Times New Roman"/>
                <w:b w:val="0"/>
                <w:bCs/>
                <w:szCs w:val="26"/>
              </w:rPr>
            </w:pPr>
            <w:r w:rsidRPr="00607D84">
              <w:rPr>
                <w:rFonts w:ascii="Times New Roman" w:hAnsi="Times New Roman"/>
                <w:b w:val="0"/>
                <w:bCs/>
                <w:szCs w:val="26"/>
              </w:rPr>
              <w:t>I</w:t>
            </w:r>
          </w:p>
        </w:tc>
        <w:tc>
          <w:tcPr>
            <w:tcW w:w="6061" w:type="dxa"/>
            <w:shd w:val="clear" w:color="auto" w:fill="auto"/>
            <w:noWrap/>
            <w:vAlign w:val="center"/>
          </w:tcPr>
          <w:p w14:paraId="1C5D9CB0" w14:textId="77777777" w:rsidR="006D4B22" w:rsidRPr="00607D84" w:rsidRDefault="006D4B22" w:rsidP="00580CDA">
            <w:pPr>
              <w:spacing w:line="276" w:lineRule="auto"/>
              <w:jc w:val="both"/>
              <w:rPr>
                <w:rFonts w:ascii="Times New Roman" w:hAnsi="Times New Roman"/>
                <w:b w:val="0"/>
                <w:bCs/>
                <w:szCs w:val="26"/>
              </w:rPr>
            </w:pPr>
            <w:r w:rsidRPr="00607D84">
              <w:rPr>
                <w:rFonts w:ascii="Times New Roman" w:hAnsi="Times New Roman"/>
                <w:b w:val="0"/>
                <w:bCs/>
                <w:szCs w:val="26"/>
              </w:rPr>
              <w:t>Phần trên mặt đất</w:t>
            </w:r>
          </w:p>
        </w:tc>
        <w:tc>
          <w:tcPr>
            <w:tcW w:w="1481" w:type="dxa"/>
            <w:shd w:val="clear" w:color="auto" w:fill="auto"/>
            <w:vAlign w:val="center"/>
          </w:tcPr>
          <w:p w14:paraId="4E50C7CE" w14:textId="77777777" w:rsidR="006D4B22" w:rsidRPr="00607D84" w:rsidRDefault="006D4B22" w:rsidP="00580CDA">
            <w:pPr>
              <w:spacing w:line="276" w:lineRule="auto"/>
              <w:jc w:val="right"/>
              <w:rPr>
                <w:rFonts w:ascii="Times New Roman" w:hAnsi="Times New Roman"/>
                <w:b w:val="0"/>
                <w:bCs/>
                <w:szCs w:val="26"/>
              </w:rPr>
            </w:pPr>
          </w:p>
        </w:tc>
        <w:tc>
          <w:tcPr>
            <w:tcW w:w="1277" w:type="dxa"/>
            <w:shd w:val="clear" w:color="auto" w:fill="auto"/>
            <w:vAlign w:val="center"/>
          </w:tcPr>
          <w:p w14:paraId="0C0E08B3" w14:textId="77777777" w:rsidR="006D4B22" w:rsidRPr="00607D84" w:rsidRDefault="006D4B22" w:rsidP="00580CDA">
            <w:pPr>
              <w:spacing w:line="276" w:lineRule="auto"/>
              <w:jc w:val="right"/>
              <w:rPr>
                <w:rFonts w:ascii="Times New Roman" w:hAnsi="Times New Roman"/>
                <w:b w:val="0"/>
                <w:szCs w:val="26"/>
              </w:rPr>
            </w:pPr>
          </w:p>
        </w:tc>
      </w:tr>
      <w:tr w:rsidR="00607D84" w:rsidRPr="00607D84" w14:paraId="377D3E7D" w14:textId="77777777" w:rsidTr="00580CDA">
        <w:trPr>
          <w:trHeight w:val="397"/>
        </w:trPr>
        <w:tc>
          <w:tcPr>
            <w:tcW w:w="679" w:type="dxa"/>
            <w:shd w:val="clear" w:color="auto" w:fill="auto"/>
            <w:noWrap/>
            <w:vAlign w:val="center"/>
          </w:tcPr>
          <w:p w14:paraId="210CDF62" w14:textId="77777777" w:rsidR="006D4B22" w:rsidRPr="00607D84" w:rsidRDefault="006D4B22" w:rsidP="00580CDA">
            <w:pPr>
              <w:spacing w:line="276" w:lineRule="auto"/>
              <w:jc w:val="center"/>
              <w:rPr>
                <w:rFonts w:ascii="Times New Roman" w:hAnsi="Times New Roman"/>
                <w:b w:val="0"/>
                <w:szCs w:val="26"/>
              </w:rPr>
            </w:pPr>
            <w:r w:rsidRPr="00607D84">
              <w:rPr>
                <w:rFonts w:ascii="Times New Roman" w:hAnsi="Times New Roman"/>
                <w:b w:val="0"/>
                <w:szCs w:val="26"/>
              </w:rPr>
              <w:t>1</w:t>
            </w:r>
          </w:p>
        </w:tc>
        <w:tc>
          <w:tcPr>
            <w:tcW w:w="6061" w:type="dxa"/>
            <w:shd w:val="clear" w:color="auto" w:fill="auto"/>
            <w:noWrap/>
            <w:vAlign w:val="center"/>
          </w:tcPr>
          <w:p w14:paraId="05E27391" w14:textId="77777777"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Diện tích xây dựng công trình chính</w:t>
            </w:r>
          </w:p>
        </w:tc>
        <w:tc>
          <w:tcPr>
            <w:tcW w:w="1481" w:type="dxa"/>
            <w:shd w:val="clear" w:color="auto" w:fill="auto"/>
            <w:vAlign w:val="center"/>
          </w:tcPr>
          <w:p w14:paraId="5B7847A8"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43.320</w:t>
            </w:r>
          </w:p>
        </w:tc>
        <w:tc>
          <w:tcPr>
            <w:tcW w:w="1277" w:type="dxa"/>
            <w:shd w:val="clear" w:color="auto" w:fill="auto"/>
            <w:vAlign w:val="center"/>
          </w:tcPr>
          <w:p w14:paraId="3061EAE6"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42,9</w:t>
            </w:r>
          </w:p>
        </w:tc>
      </w:tr>
      <w:tr w:rsidR="00607D84" w:rsidRPr="00607D84" w14:paraId="31D64A7C" w14:textId="77777777" w:rsidTr="00580CDA">
        <w:trPr>
          <w:trHeight w:val="397"/>
        </w:trPr>
        <w:tc>
          <w:tcPr>
            <w:tcW w:w="679" w:type="dxa"/>
            <w:shd w:val="clear" w:color="auto" w:fill="auto"/>
            <w:noWrap/>
            <w:vAlign w:val="center"/>
          </w:tcPr>
          <w:p w14:paraId="5AD31F72" w14:textId="77777777" w:rsidR="006D4B22" w:rsidRPr="00607D84" w:rsidRDefault="006D4B22" w:rsidP="00580CDA">
            <w:pPr>
              <w:spacing w:line="276" w:lineRule="auto"/>
              <w:jc w:val="center"/>
              <w:rPr>
                <w:rFonts w:ascii="Times New Roman" w:hAnsi="Times New Roman"/>
                <w:b w:val="0"/>
                <w:szCs w:val="26"/>
              </w:rPr>
            </w:pPr>
          </w:p>
        </w:tc>
        <w:tc>
          <w:tcPr>
            <w:tcW w:w="6061" w:type="dxa"/>
            <w:shd w:val="clear" w:color="auto" w:fill="auto"/>
            <w:noWrap/>
            <w:vAlign w:val="center"/>
          </w:tcPr>
          <w:p w14:paraId="706A30AD" w14:textId="13C07769"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 xml:space="preserve">Công trình </w:t>
            </w:r>
            <w:r w:rsidR="00DC3C80" w:rsidRPr="00607D84">
              <w:rPr>
                <w:rFonts w:ascii="Times New Roman" w:hAnsi="Times New Roman"/>
                <w:b w:val="0"/>
                <w:szCs w:val="26"/>
              </w:rPr>
              <w:t>thương mại dịch vụ</w:t>
            </w:r>
            <w:r w:rsidRPr="00607D84">
              <w:rPr>
                <w:rFonts w:ascii="Times New Roman" w:hAnsi="Times New Roman"/>
                <w:b w:val="0"/>
                <w:szCs w:val="26"/>
              </w:rPr>
              <w:t xml:space="preserve"> </w:t>
            </w:r>
            <w:r w:rsidR="00DC3C80" w:rsidRPr="00607D84">
              <w:rPr>
                <w:rFonts w:ascii="Times New Roman" w:hAnsi="Times New Roman"/>
                <w:b w:val="0"/>
                <w:szCs w:val="26"/>
              </w:rPr>
              <w:t>-</w:t>
            </w:r>
            <w:r w:rsidRPr="00607D84">
              <w:rPr>
                <w:rFonts w:ascii="Times New Roman" w:hAnsi="Times New Roman"/>
                <w:b w:val="0"/>
                <w:szCs w:val="26"/>
              </w:rPr>
              <w:t xml:space="preserve"> giai đoạn 1</w:t>
            </w:r>
          </w:p>
        </w:tc>
        <w:tc>
          <w:tcPr>
            <w:tcW w:w="1481" w:type="dxa"/>
            <w:shd w:val="clear" w:color="auto" w:fill="auto"/>
            <w:vAlign w:val="center"/>
          </w:tcPr>
          <w:p w14:paraId="34DA5C01"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31.758</w:t>
            </w:r>
          </w:p>
        </w:tc>
        <w:tc>
          <w:tcPr>
            <w:tcW w:w="1277" w:type="dxa"/>
            <w:shd w:val="clear" w:color="auto" w:fill="auto"/>
            <w:vAlign w:val="center"/>
          </w:tcPr>
          <w:p w14:paraId="38084F48" w14:textId="77777777" w:rsidR="006D4B22" w:rsidRPr="00607D84" w:rsidRDefault="006D4B22" w:rsidP="00580CDA">
            <w:pPr>
              <w:spacing w:line="276" w:lineRule="auto"/>
              <w:jc w:val="right"/>
              <w:rPr>
                <w:rFonts w:ascii="Times New Roman" w:hAnsi="Times New Roman"/>
                <w:b w:val="0"/>
                <w:szCs w:val="26"/>
              </w:rPr>
            </w:pPr>
          </w:p>
        </w:tc>
      </w:tr>
      <w:tr w:rsidR="00607D84" w:rsidRPr="00607D84" w14:paraId="0E4A1DB5" w14:textId="77777777" w:rsidTr="00580CDA">
        <w:trPr>
          <w:trHeight w:val="397"/>
        </w:trPr>
        <w:tc>
          <w:tcPr>
            <w:tcW w:w="679" w:type="dxa"/>
            <w:shd w:val="clear" w:color="auto" w:fill="auto"/>
            <w:noWrap/>
            <w:vAlign w:val="center"/>
          </w:tcPr>
          <w:p w14:paraId="04F43BE9" w14:textId="77777777" w:rsidR="006D4B22" w:rsidRPr="00607D84" w:rsidRDefault="006D4B22" w:rsidP="00580CDA">
            <w:pPr>
              <w:spacing w:line="276" w:lineRule="auto"/>
              <w:jc w:val="center"/>
              <w:rPr>
                <w:rFonts w:ascii="Times New Roman" w:hAnsi="Times New Roman"/>
                <w:b w:val="0"/>
                <w:szCs w:val="26"/>
              </w:rPr>
            </w:pPr>
          </w:p>
        </w:tc>
        <w:tc>
          <w:tcPr>
            <w:tcW w:w="6061" w:type="dxa"/>
            <w:shd w:val="clear" w:color="auto" w:fill="auto"/>
            <w:noWrap/>
            <w:vAlign w:val="center"/>
          </w:tcPr>
          <w:p w14:paraId="28AB0A5A" w14:textId="0F0ED54F"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 xml:space="preserve">Công trình </w:t>
            </w:r>
            <w:r w:rsidR="00DC3C80" w:rsidRPr="00607D84">
              <w:rPr>
                <w:rFonts w:ascii="Times New Roman" w:hAnsi="Times New Roman"/>
                <w:b w:val="0"/>
                <w:szCs w:val="26"/>
              </w:rPr>
              <w:t>thương mại dịch vụ -</w:t>
            </w:r>
            <w:r w:rsidRPr="00607D84">
              <w:rPr>
                <w:rFonts w:ascii="Times New Roman" w:hAnsi="Times New Roman"/>
                <w:b w:val="0"/>
                <w:szCs w:val="26"/>
              </w:rPr>
              <w:t xml:space="preserve"> giai đoạn 2</w:t>
            </w:r>
          </w:p>
        </w:tc>
        <w:tc>
          <w:tcPr>
            <w:tcW w:w="1481" w:type="dxa"/>
            <w:shd w:val="clear" w:color="auto" w:fill="auto"/>
            <w:vAlign w:val="center"/>
          </w:tcPr>
          <w:p w14:paraId="44B8D4B8"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11.562</w:t>
            </w:r>
          </w:p>
        </w:tc>
        <w:tc>
          <w:tcPr>
            <w:tcW w:w="1277" w:type="dxa"/>
            <w:shd w:val="clear" w:color="auto" w:fill="auto"/>
            <w:vAlign w:val="center"/>
          </w:tcPr>
          <w:p w14:paraId="01C56F43" w14:textId="77777777" w:rsidR="006D4B22" w:rsidRPr="00607D84" w:rsidRDefault="006D4B22" w:rsidP="00580CDA">
            <w:pPr>
              <w:spacing w:line="276" w:lineRule="auto"/>
              <w:jc w:val="right"/>
              <w:rPr>
                <w:rFonts w:ascii="Times New Roman" w:hAnsi="Times New Roman"/>
                <w:b w:val="0"/>
                <w:szCs w:val="26"/>
              </w:rPr>
            </w:pPr>
          </w:p>
        </w:tc>
      </w:tr>
      <w:tr w:rsidR="00607D84" w:rsidRPr="00607D84" w14:paraId="14910486" w14:textId="77777777" w:rsidTr="00580CDA">
        <w:trPr>
          <w:trHeight w:val="397"/>
        </w:trPr>
        <w:tc>
          <w:tcPr>
            <w:tcW w:w="679" w:type="dxa"/>
            <w:shd w:val="clear" w:color="auto" w:fill="auto"/>
            <w:noWrap/>
            <w:vAlign w:val="center"/>
            <w:hideMark/>
          </w:tcPr>
          <w:p w14:paraId="4C625D5B" w14:textId="77777777" w:rsidR="006D4B22" w:rsidRPr="00607D84" w:rsidRDefault="006D4B22" w:rsidP="00580CDA">
            <w:pPr>
              <w:spacing w:line="276" w:lineRule="auto"/>
              <w:jc w:val="center"/>
              <w:rPr>
                <w:rFonts w:ascii="Times New Roman" w:hAnsi="Times New Roman"/>
                <w:b w:val="0"/>
                <w:szCs w:val="26"/>
              </w:rPr>
            </w:pPr>
            <w:r w:rsidRPr="00607D84">
              <w:rPr>
                <w:rFonts w:ascii="Times New Roman" w:hAnsi="Times New Roman"/>
                <w:b w:val="0"/>
                <w:szCs w:val="26"/>
              </w:rPr>
              <w:t>2</w:t>
            </w:r>
          </w:p>
        </w:tc>
        <w:tc>
          <w:tcPr>
            <w:tcW w:w="6061" w:type="dxa"/>
            <w:shd w:val="clear" w:color="auto" w:fill="auto"/>
            <w:noWrap/>
            <w:vAlign w:val="center"/>
            <w:hideMark/>
          </w:tcPr>
          <w:p w14:paraId="74A44A2A" w14:textId="77777777"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Diện tích cây xanh thảm cỏ</w:t>
            </w:r>
          </w:p>
        </w:tc>
        <w:tc>
          <w:tcPr>
            <w:tcW w:w="1481" w:type="dxa"/>
            <w:shd w:val="clear" w:color="auto" w:fill="auto"/>
            <w:vAlign w:val="center"/>
            <w:hideMark/>
          </w:tcPr>
          <w:p w14:paraId="5DBE32DA"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5.050</w:t>
            </w:r>
          </w:p>
        </w:tc>
        <w:tc>
          <w:tcPr>
            <w:tcW w:w="1277" w:type="dxa"/>
            <w:shd w:val="clear" w:color="auto" w:fill="auto"/>
            <w:vAlign w:val="center"/>
          </w:tcPr>
          <w:p w14:paraId="64B1D04D"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5,0</w:t>
            </w:r>
          </w:p>
        </w:tc>
      </w:tr>
      <w:tr w:rsidR="00607D84" w:rsidRPr="00607D84" w14:paraId="730EB4B3" w14:textId="77777777" w:rsidTr="00580CDA">
        <w:trPr>
          <w:trHeight w:val="397"/>
        </w:trPr>
        <w:tc>
          <w:tcPr>
            <w:tcW w:w="679" w:type="dxa"/>
            <w:shd w:val="clear" w:color="auto" w:fill="auto"/>
            <w:noWrap/>
            <w:vAlign w:val="center"/>
            <w:hideMark/>
          </w:tcPr>
          <w:p w14:paraId="1A674766" w14:textId="77777777" w:rsidR="006D4B22" w:rsidRPr="00607D84" w:rsidRDefault="006D4B22" w:rsidP="00580CDA">
            <w:pPr>
              <w:spacing w:line="276" w:lineRule="auto"/>
              <w:jc w:val="center"/>
              <w:rPr>
                <w:rFonts w:ascii="Times New Roman" w:hAnsi="Times New Roman"/>
                <w:b w:val="0"/>
                <w:szCs w:val="26"/>
              </w:rPr>
            </w:pPr>
            <w:r w:rsidRPr="00607D84">
              <w:rPr>
                <w:rFonts w:ascii="Times New Roman" w:hAnsi="Times New Roman"/>
                <w:b w:val="0"/>
                <w:szCs w:val="26"/>
              </w:rPr>
              <w:t>3</w:t>
            </w:r>
          </w:p>
        </w:tc>
        <w:tc>
          <w:tcPr>
            <w:tcW w:w="6061" w:type="dxa"/>
            <w:shd w:val="clear" w:color="auto" w:fill="auto"/>
            <w:noWrap/>
            <w:vAlign w:val="center"/>
            <w:hideMark/>
          </w:tcPr>
          <w:p w14:paraId="072AC8CF" w14:textId="77777777"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Diện tích sân đường nội bộ, sân bãi, đỗ xe</w:t>
            </w:r>
          </w:p>
        </w:tc>
        <w:tc>
          <w:tcPr>
            <w:tcW w:w="1481" w:type="dxa"/>
            <w:shd w:val="clear" w:color="auto" w:fill="auto"/>
            <w:vAlign w:val="center"/>
            <w:hideMark/>
          </w:tcPr>
          <w:p w14:paraId="0F665BE2"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50.973</w:t>
            </w:r>
          </w:p>
        </w:tc>
        <w:tc>
          <w:tcPr>
            <w:tcW w:w="1277" w:type="dxa"/>
            <w:shd w:val="clear" w:color="auto" w:fill="auto"/>
            <w:vAlign w:val="center"/>
          </w:tcPr>
          <w:p w14:paraId="64DFA6CB"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50,5</w:t>
            </w:r>
          </w:p>
        </w:tc>
      </w:tr>
      <w:tr w:rsidR="00607D84" w:rsidRPr="00607D84" w14:paraId="7CC04384" w14:textId="77777777" w:rsidTr="00580CDA">
        <w:trPr>
          <w:trHeight w:val="397"/>
        </w:trPr>
        <w:tc>
          <w:tcPr>
            <w:tcW w:w="679" w:type="dxa"/>
            <w:shd w:val="clear" w:color="auto" w:fill="auto"/>
            <w:noWrap/>
            <w:vAlign w:val="center"/>
          </w:tcPr>
          <w:p w14:paraId="16373A01" w14:textId="77777777" w:rsidR="006D4B22" w:rsidRPr="00607D84" w:rsidRDefault="006D4B22" w:rsidP="00580CDA">
            <w:pPr>
              <w:spacing w:line="276" w:lineRule="auto"/>
              <w:jc w:val="center"/>
              <w:rPr>
                <w:rFonts w:ascii="Times New Roman" w:hAnsi="Times New Roman"/>
                <w:b w:val="0"/>
                <w:szCs w:val="26"/>
              </w:rPr>
            </w:pPr>
          </w:p>
        </w:tc>
        <w:tc>
          <w:tcPr>
            <w:tcW w:w="6061" w:type="dxa"/>
            <w:shd w:val="clear" w:color="auto" w:fill="auto"/>
            <w:noWrap/>
            <w:vAlign w:val="center"/>
          </w:tcPr>
          <w:p w14:paraId="5FB8FF52" w14:textId="77777777"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Diện tích sân đường nội bộ, sân bãi</w:t>
            </w:r>
          </w:p>
        </w:tc>
        <w:tc>
          <w:tcPr>
            <w:tcW w:w="1481" w:type="dxa"/>
            <w:shd w:val="clear" w:color="auto" w:fill="auto"/>
            <w:vAlign w:val="center"/>
          </w:tcPr>
          <w:p w14:paraId="5727C727"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37.133</w:t>
            </w:r>
          </w:p>
        </w:tc>
        <w:tc>
          <w:tcPr>
            <w:tcW w:w="1277" w:type="dxa"/>
            <w:shd w:val="clear" w:color="auto" w:fill="auto"/>
            <w:vAlign w:val="center"/>
          </w:tcPr>
          <w:p w14:paraId="2C0FFF42" w14:textId="77777777" w:rsidR="006D4B22" w:rsidRPr="00607D84" w:rsidRDefault="006D4B22" w:rsidP="00580CDA">
            <w:pPr>
              <w:spacing w:line="276" w:lineRule="auto"/>
              <w:jc w:val="right"/>
              <w:rPr>
                <w:rFonts w:ascii="Times New Roman" w:hAnsi="Times New Roman"/>
                <w:b w:val="0"/>
                <w:szCs w:val="26"/>
              </w:rPr>
            </w:pPr>
          </w:p>
        </w:tc>
      </w:tr>
      <w:tr w:rsidR="00607D84" w:rsidRPr="00607D84" w14:paraId="5EFF9C2B" w14:textId="77777777" w:rsidTr="00580CDA">
        <w:trPr>
          <w:trHeight w:val="397"/>
        </w:trPr>
        <w:tc>
          <w:tcPr>
            <w:tcW w:w="679" w:type="dxa"/>
            <w:shd w:val="clear" w:color="auto" w:fill="auto"/>
            <w:noWrap/>
            <w:vAlign w:val="center"/>
          </w:tcPr>
          <w:p w14:paraId="76EB1629" w14:textId="77777777" w:rsidR="006D4B22" w:rsidRPr="00607D84" w:rsidRDefault="006D4B22" w:rsidP="00580CDA">
            <w:pPr>
              <w:spacing w:line="276" w:lineRule="auto"/>
              <w:jc w:val="center"/>
              <w:rPr>
                <w:rFonts w:ascii="Times New Roman" w:hAnsi="Times New Roman"/>
                <w:b w:val="0"/>
                <w:szCs w:val="26"/>
              </w:rPr>
            </w:pPr>
          </w:p>
        </w:tc>
        <w:tc>
          <w:tcPr>
            <w:tcW w:w="6061" w:type="dxa"/>
            <w:shd w:val="clear" w:color="auto" w:fill="auto"/>
            <w:noWrap/>
            <w:vAlign w:val="center"/>
          </w:tcPr>
          <w:p w14:paraId="33BE22CC" w14:textId="77777777"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 xml:space="preserve">Diện tích đỗ xe (có mái che và không có mái che; bao gồm </w:t>
            </w:r>
            <w:r w:rsidRPr="00607D84">
              <w:rPr>
                <w:rFonts w:ascii="Times New Roman" w:hAnsi="Times New Roman"/>
                <w:b w:val="0"/>
                <w:bCs/>
                <w:szCs w:val="26"/>
              </w:rPr>
              <w:t>bãi xe, đường giao thông trong bãi xe, sân bãi tập kết,…</w:t>
            </w:r>
            <w:r w:rsidRPr="00607D84">
              <w:rPr>
                <w:rFonts w:ascii="Times New Roman" w:hAnsi="Times New Roman"/>
                <w:b w:val="0"/>
                <w:szCs w:val="26"/>
              </w:rPr>
              <w:t>)</w:t>
            </w:r>
          </w:p>
        </w:tc>
        <w:tc>
          <w:tcPr>
            <w:tcW w:w="1481" w:type="dxa"/>
            <w:shd w:val="clear" w:color="auto" w:fill="auto"/>
            <w:vAlign w:val="center"/>
          </w:tcPr>
          <w:p w14:paraId="2049C859"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13.840</w:t>
            </w:r>
          </w:p>
        </w:tc>
        <w:tc>
          <w:tcPr>
            <w:tcW w:w="1277" w:type="dxa"/>
            <w:shd w:val="clear" w:color="auto" w:fill="auto"/>
            <w:vAlign w:val="center"/>
          </w:tcPr>
          <w:p w14:paraId="4997C8CF" w14:textId="77777777" w:rsidR="006D4B22" w:rsidRPr="00607D84" w:rsidRDefault="006D4B22" w:rsidP="00580CDA">
            <w:pPr>
              <w:spacing w:line="276" w:lineRule="auto"/>
              <w:jc w:val="right"/>
              <w:rPr>
                <w:rFonts w:ascii="Times New Roman" w:hAnsi="Times New Roman"/>
                <w:b w:val="0"/>
                <w:szCs w:val="26"/>
              </w:rPr>
            </w:pPr>
          </w:p>
        </w:tc>
      </w:tr>
      <w:tr w:rsidR="00607D84" w:rsidRPr="00607D84" w14:paraId="0A8EC4A0" w14:textId="77777777" w:rsidTr="00580CDA">
        <w:trPr>
          <w:trHeight w:val="397"/>
        </w:trPr>
        <w:tc>
          <w:tcPr>
            <w:tcW w:w="679" w:type="dxa"/>
            <w:shd w:val="clear" w:color="auto" w:fill="auto"/>
            <w:noWrap/>
            <w:vAlign w:val="center"/>
          </w:tcPr>
          <w:p w14:paraId="0F16F7D7" w14:textId="77777777" w:rsidR="006D4B22" w:rsidRPr="00607D84" w:rsidRDefault="006D4B22" w:rsidP="00580CDA">
            <w:pPr>
              <w:spacing w:line="276" w:lineRule="auto"/>
              <w:jc w:val="center"/>
              <w:rPr>
                <w:rFonts w:ascii="Times New Roman" w:hAnsi="Times New Roman"/>
                <w:b w:val="0"/>
                <w:szCs w:val="26"/>
              </w:rPr>
            </w:pPr>
            <w:r w:rsidRPr="00607D84">
              <w:rPr>
                <w:rFonts w:ascii="Times New Roman" w:hAnsi="Times New Roman"/>
                <w:b w:val="0"/>
                <w:szCs w:val="26"/>
              </w:rPr>
              <w:t>4</w:t>
            </w:r>
          </w:p>
        </w:tc>
        <w:tc>
          <w:tcPr>
            <w:tcW w:w="6061" w:type="dxa"/>
            <w:shd w:val="clear" w:color="auto" w:fill="auto"/>
            <w:noWrap/>
            <w:vAlign w:val="center"/>
          </w:tcPr>
          <w:p w14:paraId="7F2E9AE4" w14:textId="77777777"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Diện tích khác (lối xuống hầm, trạm kiểm soát xe ra vào, trạm năng lượng, trạm sạc, lối đi bộ)</w:t>
            </w:r>
          </w:p>
        </w:tc>
        <w:tc>
          <w:tcPr>
            <w:tcW w:w="1481" w:type="dxa"/>
            <w:shd w:val="clear" w:color="auto" w:fill="auto"/>
            <w:vAlign w:val="center"/>
          </w:tcPr>
          <w:p w14:paraId="39F907FA"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1.651</w:t>
            </w:r>
          </w:p>
        </w:tc>
        <w:tc>
          <w:tcPr>
            <w:tcW w:w="1277" w:type="dxa"/>
            <w:shd w:val="clear" w:color="auto" w:fill="auto"/>
            <w:vAlign w:val="center"/>
          </w:tcPr>
          <w:p w14:paraId="21B3D212"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1,6</w:t>
            </w:r>
          </w:p>
        </w:tc>
      </w:tr>
      <w:tr w:rsidR="00607D84" w:rsidRPr="00607D84" w14:paraId="5949B7FA" w14:textId="77777777" w:rsidTr="00580CDA">
        <w:trPr>
          <w:trHeight w:val="397"/>
        </w:trPr>
        <w:tc>
          <w:tcPr>
            <w:tcW w:w="679" w:type="dxa"/>
            <w:shd w:val="clear" w:color="auto" w:fill="auto"/>
            <w:noWrap/>
            <w:vAlign w:val="center"/>
          </w:tcPr>
          <w:p w14:paraId="2219D790" w14:textId="77777777" w:rsidR="006D4B22" w:rsidRPr="00607D84" w:rsidRDefault="006D4B22" w:rsidP="00580CDA">
            <w:pPr>
              <w:spacing w:line="276" w:lineRule="auto"/>
              <w:jc w:val="center"/>
              <w:rPr>
                <w:rFonts w:ascii="Times New Roman" w:hAnsi="Times New Roman"/>
                <w:b w:val="0"/>
                <w:bCs/>
                <w:szCs w:val="26"/>
              </w:rPr>
            </w:pPr>
            <w:r w:rsidRPr="00607D84">
              <w:rPr>
                <w:rFonts w:ascii="Times New Roman" w:hAnsi="Times New Roman"/>
                <w:b w:val="0"/>
                <w:bCs/>
                <w:szCs w:val="26"/>
              </w:rPr>
              <w:t>II</w:t>
            </w:r>
          </w:p>
        </w:tc>
        <w:tc>
          <w:tcPr>
            <w:tcW w:w="6061" w:type="dxa"/>
            <w:shd w:val="clear" w:color="auto" w:fill="auto"/>
            <w:noWrap/>
            <w:vAlign w:val="center"/>
          </w:tcPr>
          <w:p w14:paraId="546F73F2" w14:textId="77777777" w:rsidR="006D4B22" w:rsidRPr="00607D84" w:rsidRDefault="006D4B22" w:rsidP="00580CDA">
            <w:pPr>
              <w:spacing w:line="276" w:lineRule="auto"/>
              <w:jc w:val="both"/>
              <w:rPr>
                <w:rFonts w:ascii="Times New Roman" w:hAnsi="Times New Roman"/>
                <w:b w:val="0"/>
                <w:bCs/>
                <w:szCs w:val="26"/>
              </w:rPr>
            </w:pPr>
            <w:r w:rsidRPr="00607D84">
              <w:rPr>
                <w:rFonts w:ascii="Times New Roman" w:hAnsi="Times New Roman"/>
                <w:b w:val="0"/>
                <w:bCs/>
                <w:szCs w:val="26"/>
              </w:rPr>
              <w:t>Phần ngầm</w:t>
            </w:r>
          </w:p>
        </w:tc>
        <w:tc>
          <w:tcPr>
            <w:tcW w:w="1481" w:type="dxa"/>
            <w:shd w:val="clear" w:color="auto" w:fill="auto"/>
            <w:vAlign w:val="center"/>
          </w:tcPr>
          <w:p w14:paraId="52BFF370" w14:textId="77777777" w:rsidR="006D4B22" w:rsidRPr="00607D84" w:rsidRDefault="006D4B22" w:rsidP="00580CDA">
            <w:pPr>
              <w:spacing w:line="276" w:lineRule="auto"/>
              <w:jc w:val="right"/>
              <w:rPr>
                <w:rFonts w:ascii="Times New Roman" w:hAnsi="Times New Roman"/>
                <w:b w:val="0"/>
                <w:bCs/>
                <w:szCs w:val="26"/>
              </w:rPr>
            </w:pPr>
          </w:p>
        </w:tc>
        <w:tc>
          <w:tcPr>
            <w:tcW w:w="1277" w:type="dxa"/>
            <w:shd w:val="clear" w:color="auto" w:fill="auto"/>
            <w:vAlign w:val="center"/>
          </w:tcPr>
          <w:p w14:paraId="28EAF870" w14:textId="77777777" w:rsidR="006D4B22" w:rsidRPr="00607D84" w:rsidRDefault="006D4B22" w:rsidP="00580CDA">
            <w:pPr>
              <w:spacing w:line="276" w:lineRule="auto"/>
              <w:jc w:val="right"/>
              <w:rPr>
                <w:rFonts w:ascii="Times New Roman" w:hAnsi="Times New Roman"/>
                <w:b w:val="0"/>
                <w:szCs w:val="26"/>
              </w:rPr>
            </w:pPr>
          </w:p>
        </w:tc>
      </w:tr>
      <w:tr w:rsidR="00607D84" w:rsidRPr="00607D84" w14:paraId="0B0C4F0F" w14:textId="77777777" w:rsidTr="00580CDA">
        <w:trPr>
          <w:trHeight w:val="397"/>
        </w:trPr>
        <w:tc>
          <w:tcPr>
            <w:tcW w:w="679" w:type="dxa"/>
            <w:shd w:val="clear" w:color="auto" w:fill="auto"/>
            <w:noWrap/>
            <w:vAlign w:val="center"/>
          </w:tcPr>
          <w:p w14:paraId="7C23E31C" w14:textId="77777777" w:rsidR="006D4B22" w:rsidRPr="00607D84" w:rsidRDefault="006D4B22" w:rsidP="00580CDA">
            <w:pPr>
              <w:spacing w:line="276" w:lineRule="auto"/>
              <w:jc w:val="center"/>
              <w:rPr>
                <w:rFonts w:ascii="Times New Roman" w:hAnsi="Times New Roman"/>
                <w:b w:val="0"/>
                <w:szCs w:val="26"/>
              </w:rPr>
            </w:pPr>
          </w:p>
        </w:tc>
        <w:tc>
          <w:tcPr>
            <w:tcW w:w="6061" w:type="dxa"/>
            <w:shd w:val="clear" w:color="auto" w:fill="auto"/>
            <w:noWrap/>
            <w:vAlign w:val="center"/>
          </w:tcPr>
          <w:p w14:paraId="07CC9B97" w14:textId="2893AC40" w:rsidR="006D4B22" w:rsidRPr="00607D84" w:rsidRDefault="006D4B22" w:rsidP="00580CDA">
            <w:pPr>
              <w:spacing w:line="276" w:lineRule="auto"/>
              <w:jc w:val="both"/>
              <w:rPr>
                <w:rFonts w:ascii="Times New Roman" w:hAnsi="Times New Roman"/>
                <w:b w:val="0"/>
                <w:szCs w:val="26"/>
              </w:rPr>
            </w:pPr>
            <w:r w:rsidRPr="00607D84">
              <w:rPr>
                <w:rFonts w:ascii="Times New Roman" w:hAnsi="Times New Roman"/>
                <w:b w:val="0"/>
                <w:szCs w:val="26"/>
              </w:rPr>
              <w:t>Diện tích xây dựng tầng hầm</w:t>
            </w:r>
          </w:p>
        </w:tc>
        <w:tc>
          <w:tcPr>
            <w:tcW w:w="1481" w:type="dxa"/>
            <w:shd w:val="clear" w:color="auto" w:fill="auto"/>
            <w:vAlign w:val="center"/>
          </w:tcPr>
          <w:p w14:paraId="4F79B16B" w14:textId="77777777" w:rsidR="006D4B22" w:rsidRPr="00607D84" w:rsidRDefault="006D4B22" w:rsidP="00580CDA">
            <w:pPr>
              <w:spacing w:line="276" w:lineRule="auto"/>
              <w:jc w:val="right"/>
              <w:rPr>
                <w:rFonts w:ascii="Times New Roman" w:hAnsi="Times New Roman"/>
                <w:b w:val="0"/>
                <w:szCs w:val="26"/>
              </w:rPr>
            </w:pPr>
            <w:r w:rsidRPr="00607D84">
              <w:rPr>
                <w:rFonts w:ascii="Times New Roman" w:hAnsi="Times New Roman"/>
                <w:b w:val="0"/>
                <w:szCs w:val="26"/>
              </w:rPr>
              <w:t>49.550</w:t>
            </w:r>
          </w:p>
        </w:tc>
        <w:tc>
          <w:tcPr>
            <w:tcW w:w="1277" w:type="dxa"/>
            <w:shd w:val="clear" w:color="auto" w:fill="auto"/>
            <w:vAlign w:val="center"/>
          </w:tcPr>
          <w:p w14:paraId="0A982D3E" w14:textId="77777777" w:rsidR="006D4B22" w:rsidRPr="00607D84" w:rsidRDefault="006D4B22" w:rsidP="00580CDA">
            <w:pPr>
              <w:spacing w:line="276" w:lineRule="auto"/>
              <w:jc w:val="right"/>
              <w:rPr>
                <w:rFonts w:ascii="Times New Roman" w:hAnsi="Times New Roman"/>
                <w:b w:val="0"/>
                <w:szCs w:val="26"/>
              </w:rPr>
            </w:pPr>
          </w:p>
        </w:tc>
      </w:tr>
    </w:tbl>
    <w:p w14:paraId="7241BA61" w14:textId="77777777" w:rsidR="006D4B22" w:rsidRPr="00607D84" w:rsidRDefault="006D4B22" w:rsidP="00580CDA">
      <w:pPr>
        <w:widowControl w:val="0"/>
        <w:spacing w:before="120"/>
        <w:ind w:firstLine="567"/>
        <w:jc w:val="both"/>
        <w:rPr>
          <w:rFonts w:ascii="Times New Roman" w:hAnsi="Times New Roman"/>
          <w:b w:val="0"/>
          <w:bCs/>
          <w:i/>
          <w:sz w:val="28"/>
          <w:szCs w:val="28"/>
        </w:rPr>
      </w:pPr>
      <w:r w:rsidRPr="00607D84">
        <w:rPr>
          <w:rFonts w:ascii="Times New Roman" w:hAnsi="Times New Roman"/>
          <w:b w:val="0"/>
          <w:bCs/>
          <w:i/>
          <w:sz w:val="28"/>
          <w:szCs w:val="28"/>
        </w:rPr>
        <w:t>Diện tích xây dựng cụ thể các hạng mục được xác định cụ thể trong giai đoạn triển khai các bước tiếp theo.</w:t>
      </w:r>
    </w:p>
    <w:p w14:paraId="5E980376" w14:textId="1A46A21B" w:rsidR="006D4B22" w:rsidRPr="00607D84" w:rsidRDefault="006D4B22" w:rsidP="00580CDA">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6. Tổ chức k</w:t>
      </w:r>
      <w:r w:rsidR="00DF0AFC" w:rsidRPr="00607D84">
        <w:rPr>
          <w:rFonts w:ascii="Times New Roman" w:hAnsi="Times New Roman"/>
          <w:b w:val="0"/>
          <w:bCs/>
          <w:sz w:val="28"/>
          <w:szCs w:val="28"/>
        </w:rPr>
        <w:t>hông gian, kiến trúc, cảnh quan</w:t>
      </w:r>
    </w:p>
    <w:p w14:paraId="08C9B92F" w14:textId="5990F731" w:rsidR="006D4B22" w:rsidRPr="00607D84" w:rsidRDefault="00DF0AFC" w:rsidP="00580CDA">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a)</w:t>
      </w:r>
      <w:r w:rsidR="006D4B22" w:rsidRPr="00607D84">
        <w:rPr>
          <w:rFonts w:ascii="Times New Roman" w:hAnsi="Times New Roman"/>
          <w:b w:val="0"/>
          <w:bCs/>
          <w:sz w:val="28"/>
          <w:szCs w:val="28"/>
        </w:rPr>
        <w:t xml:space="preserve"> Giải pháp tổ chức không gian kiến trúc khu vực nghiên cứu được định hướng với khu vực t</w:t>
      </w:r>
      <w:r w:rsidR="008928C5">
        <w:rPr>
          <w:rFonts w:ascii="Times New Roman" w:hAnsi="Times New Roman"/>
          <w:b w:val="0"/>
          <w:bCs/>
          <w:sz w:val="28"/>
          <w:szCs w:val="28"/>
        </w:rPr>
        <w:t>rung tâm khu đất là công trình t</w:t>
      </w:r>
      <w:r w:rsidR="006D4B22" w:rsidRPr="00607D84">
        <w:rPr>
          <w:rFonts w:ascii="Times New Roman" w:hAnsi="Times New Roman"/>
          <w:b w:val="0"/>
          <w:bCs/>
          <w:sz w:val="28"/>
          <w:szCs w:val="28"/>
        </w:rPr>
        <w:t>rung tâm thương mại với tầng cao tối đa là 08 tầng, có kiến trúc hiện đại tạo điểm nhấn về kiến trúc cảnh quan của khu vực. Công trình có vị trí tiếp giáp với đường Đặng Văn Trơn là trục đường chính, có tác động đến kiến trúc cảnh quan của khu vực do đó trong quá trình triển khai dự án cần lựa chọn được phương án kiến trúc tốt nhất theo đúng quy định nhằm mang lại hiệu quả cao cho dự án.</w:t>
      </w:r>
    </w:p>
    <w:p w14:paraId="3DD20875" w14:textId="231F7371" w:rsidR="006D4B22" w:rsidRPr="00607D84" w:rsidRDefault="00DF0AFC" w:rsidP="00580CDA">
      <w:pPr>
        <w:widowControl w:val="0"/>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b)</w:t>
      </w:r>
      <w:r w:rsidR="006D4B22" w:rsidRPr="00607D84">
        <w:rPr>
          <w:rFonts w:ascii="Times New Roman" w:hAnsi="Times New Roman"/>
          <w:b w:val="0"/>
          <w:bCs/>
          <w:sz w:val="28"/>
          <w:szCs w:val="28"/>
        </w:rPr>
        <w:t xml:space="preserve"> Khu vực sân bãi bố trí các chức năng cây xanh, bãi đỗ xe, hạ tầng kỹ thuật phụ tr</w:t>
      </w:r>
      <w:r w:rsidR="008928C5">
        <w:rPr>
          <w:rFonts w:ascii="Times New Roman" w:hAnsi="Times New Roman"/>
          <w:b w:val="0"/>
          <w:bCs/>
          <w:sz w:val="28"/>
          <w:szCs w:val="28"/>
        </w:rPr>
        <w:t>ợ cho hoạt động của công trình t</w:t>
      </w:r>
      <w:r w:rsidR="006D4B22" w:rsidRPr="00607D84">
        <w:rPr>
          <w:rFonts w:ascii="Times New Roman" w:hAnsi="Times New Roman"/>
          <w:b w:val="0"/>
          <w:bCs/>
          <w:sz w:val="28"/>
          <w:szCs w:val="28"/>
        </w:rPr>
        <w:t>rung tâm thương mại.</w:t>
      </w:r>
    </w:p>
    <w:p w14:paraId="3D9B35D0" w14:textId="499F00AA" w:rsidR="006D4B22" w:rsidRPr="00607D84" w:rsidRDefault="00DF0AFC" w:rsidP="00B9163C">
      <w:pPr>
        <w:widowControl w:val="0"/>
        <w:spacing w:before="140"/>
        <w:ind w:firstLine="567"/>
        <w:jc w:val="both"/>
        <w:rPr>
          <w:rFonts w:ascii="Times New Roman" w:hAnsi="Times New Roman"/>
          <w:b w:val="0"/>
          <w:bCs/>
          <w:sz w:val="28"/>
          <w:szCs w:val="28"/>
        </w:rPr>
      </w:pPr>
      <w:r w:rsidRPr="00607D84">
        <w:rPr>
          <w:rFonts w:ascii="Times New Roman" w:hAnsi="Times New Roman"/>
          <w:b w:val="0"/>
          <w:bCs/>
          <w:sz w:val="28"/>
          <w:szCs w:val="28"/>
        </w:rPr>
        <w:lastRenderedPageBreak/>
        <w:t>c)</w:t>
      </w:r>
      <w:r w:rsidR="00DC3C80" w:rsidRPr="00607D84">
        <w:rPr>
          <w:rFonts w:ascii="Times New Roman" w:hAnsi="Times New Roman"/>
          <w:b w:val="0"/>
          <w:bCs/>
          <w:sz w:val="28"/>
          <w:szCs w:val="28"/>
        </w:rPr>
        <w:t xml:space="preserve"> Không gian cảnh quan:</w:t>
      </w:r>
    </w:p>
    <w:p w14:paraId="066C4714" w14:textId="5997C1FC" w:rsidR="006D4B22" w:rsidRPr="00607D84" w:rsidRDefault="00DF0AFC" w:rsidP="00B9163C">
      <w:pPr>
        <w:widowControl w:val="0"/>
        <w:spacing w:before="140"/>
        <w:ind w:firstLine="567"/>
        <w:jc w:val="both"/>
        <w:rPr>
          <w:rFonts w:ascii="Times New Roman" w:hAnsi="Times New Roman"/>
          <w:b w:val="0"/>
          <w:bCs/>
          <w:sz w:val="28"/>
          <w:szCs w:val="28"/>
        </w:rPr>
      </w:pPr>
      <w:r w:rsidRPr="00607D84">
        <w:rPr>
          <w:rFonts w:ascii="Times New Roman" w:hAnsi="Times New Roman"/>
          <w:b w:val="0"/>
          <w:bCs/>
          <w:sz w:val="28"/>
          <w:szCs w:val="28"/>
        </w:rPr>
        <w:t>-</w:t>
      </w:r>
      <w:r w:rsidR="006D4B22" w:rsidRPr="00607D84">
        <w:rPr>
          <w:rFonts w:ascii="Times New Roman" w:hAnsi="Times New Roman"/>
          <w:b w:val="0"/>
          <w:bCs/>
          <w:sz w:val="28"/>
          <w:szCs w:val="28"/>
        </w:rPr>
        <w:t xml:space="preserve"> Điểm nhấn về không gian cũng như kiến trúc của khu vực là công trình </w:t>
      </w:r>
      <w:r w:rsidR="00DC3C80" w:rsidRPr="00607D84">
        <w:rPr>
          <w:rFonts w:ascii="Times New Roman" w:hAnsi="Times New Roman"/>
          <w:b w:val="0"/>
          <w:bCs/>
          <w:sz w:val="28"/>
          <w:szCs w:val="28"/>
        </w:rPr>
        <w:t>t</w:t>
      </w:r>
      <w:r w:rsidR="006D4B22" w:rsidRPr="00607D84">
        <w:rPr>
          <w:rFonts w:ascii="Times New Roman" w:hAnsi="Times New Roman"/>
          <w:b w:val="0"/>
          <w:bCs/>
          <w:sz w:val="28"/>
          <w:szCs w:val="28"/>
        </w:rPr>
        <w:t>rung tâm thương mại.</w:t>
      </w:r>
    </w:p>
    <w:p w14:paraId="02EF8DEE" w14:textId="7DB8DA30" w:rsidR="006D4B22" w:rsidRPr="00607D84" w:rsidRDefault="00DF0AFC" w:rsidP="00B9163C">
      <w:pPr>
        <w:widowControl w:val="0"/>
        <w:spacing w:before="140"/>
        <w:ind w:firstLine="567"/>
        <w:jc w:val="both"/>
        <w:rPr>
          <w:rFonts w:ascii="Times New Roman" w:hAnsi="Times New Roman"/>
          <w:b w:val="0"/>
          <w:bCs/>
          <w:sz w:val="28"/>
          <w:szCs w:val="28"/>
        </w:rPr>
      </w:pPr>
      <w:r w:rsidRPr="00607D84">
        <w:rPr>
          <w:rFonts w:ascii="Times New Roman" w:hAnsi="Times New Roman"/>
          <w:b w:val="0"/>
          <w:bCs/>
          <w:sz w:val="28"/>
          <w:szCs w:val="28"/>
        </w:rPr>
        <w:t>-</w:t>
      </w:r>
      <w:r w:rsidR="006D4B22" w:rsidRPr="00607D84">
        <w:rPr>
          <w:rFonts w:ascii="Times New Roman" w:hAnsi="Times New Roman"/>
          <w:b w:val="0"/>
          <w:bCs/>
          <w:sz w:val="28"/>
          <w:szCs w:val="28"/>
        </w:rPr>
        <w:t xml:space="preserve"> Các không gian cây xanh được bố trí phân tán để đảm bảo cảnh quan và môi trường cho dự án.</w:t>
      </w:r>
    </w:p>
    <w:p w14:paraId="3B2497C3" w14:textId="44860B88" w:rsidR="006D4B22" w:rsidRPr="00607D84" w:rsidRDefault="00DF0AFC" w:rsidP="00B9163C">
      <w:pPr>
        <w:widowControl w:val="0"/>
        <w:spacing w:before="140"/>
        <w:ind w:firstLine="567"/>
        <w:jc w:val="both"/>
        <w:rPr>
          <w:rFonts w:ascii="Times New Roman" w:hAnsi="Times New Roman"/>
          <w:b w:val="0"/>
          <w:bCs/>
          <w:sz w:val="28"/>
          <w:szCs w:val="28"/>
        </w:rPr>
      </w:pPr>
      <w:r w:rsidRPr="00607D84">
        <w:rPr>
          <w:rFonts w:ascii="Times New Roman" w:hAnsi="Times New Roman"/>
          <w:b w:val="0"/>
          <w:bCs/>
          <w:sz w:val="28"/>
          <w:szCs w:val="28"/>
        </w:rPr>
        <w:t>-</w:t>
      </w:r>
      <w:r w:rsidR="006D4B22" w:rsidRPr="00607D84">
        <w:rPr>
          <w:rFonts w:ascii="Times New Roman" w:hAnsi="Times New Roman"/>
          <w:b w:val="0"/>
          <w:bCs/>
          <w:sz w:val="28"/>
          <w:szCs w:val="28"/>
        </w:rPr>
        <w:t xml:space="preserve"> Các khu vực bãi xe được kết hợp với hệ thống giao thông nội bộ một cách thuận tiện đáp ứng nhu cầu sử dụng trong quá trình hoạt động.</w:t>
      </w:r>
    </w:p>
    <w:p w14:paraId="05DEE571" w14:textId="55ACBE84" w:rsidR="006D4B22" w:rsidRPr="00607D84" w:rsidRDefault="006D4B22" w:rsidP="00B9163C">
      <w:pPr>
        <w:widowControl w:val="0"/>
        <w:spacing w:before="140"/>
        <w:ind w:firstLine="567"/>
        <w:jc w:val="both"/>
        <w:rPr>
          <w:rFonts w:ascii="Times New Roman" w:hAnsi="Times New Roman"/>
          <w:b w:val="0"/>
          <w:bCs/>
          <w:sz w:val="28"/>
          <w:szCs w:val="28"/>
        </w:rPr>
      </w:pPr>
      <w:r w:rsidRPr="00607D84">
        <w:rPr>
          <w:rFonts w:ascii="Times New Roman" w:hAnsi="Times New Roman"/>
          <w:b w:val="0"/>
          <w:bCs/>
          <w:sz w:val="28"/>
          <w:szCs w:val="28"/>
        </w:rPr>
        <w:t>7. Quy h</w:t>
      </w:r>
      <w:r w:rsidR="00DF0AFC" w:rsidRPr="00607D84">
        <w:rPr>
          <w:rFonts w:ascii="Times New Roman" w:hAnsi="Times New Roman"/>
          <w:b w:val="0"/>
          <w:bCs/>
          <w:sz w:val="28"/>
          <w:szCs w:val="28"/>
        </w:rPr>
        <w:t>oạch hệ thống hạ tầng kỹ thuật</w:t>
      </w:r>
    </w:p>
    <w:p w14:paraId="5314E31C" w14:textId="77777777" w:rsidR="006D4B22" w:rsidRPr="00607D84" w:rsidRDefault="006D4B22" w:rsidP="00B9163C">
      <w:pPr>
        <w:widowControl w:val="0"/>
        <w:spacing w:before="140"/>
        <w:ind w:firstLine="567"/>
        <w:jc w:val="both"/>
        <w:rPr>
          <w:rFonts w:ascii="Times New Roman" w:hAnsi="Times New Roman"/>
          <w:b w:val="0"/>
          <w:bCs/>
          <w:sz w:val="28"/>
          <w:szCs w:val="28"/>
        </w:rPr>
      </w:pPr>
      <w:r w:rsidRPr="00607D84">
        <w:rPr>
          <w:rFonts w:ascii="Times New Roman" w:hAnsi="Times New Roman"/>
          <w:b w:val="0"/>
          <w:bCs/>
          <w:sz w:val="28"/>
          <w:szCs w:val="28"/>
        </w:rPr>
        <w:t xml:space="preserve">Phải tuân thủ quy chuẩn, tiêu chuẩn hiện hành; khuyến khích áp dụng công nghệ mới, tiên tiến, hiện đại và thân thiện với môi trường. </w:t>
      </w:r>
    </w:p>
    <w:p w14:paraId="635998D0" w14:textId="1FEFC056" w:rsidR="006D4B22" w:rsidRPr="00607D84" w:rsidRDefault="00DF0AFC" w:rsidP="00B9163C">
      <w:pPr>
        <w:spacing w:before="140"/>
        <w:ind w:firstLine="567"/>
        <w:jc w:val="both"/>
        <w:rPr>
          <w:rFonts w:ascii="Times New Roman" w:hAnsi="Times New Roman"/>
          <w:b w:val="0"/>
          <w:sz w:val="28"/>
          <w:szCs w:val="28"/>
        </w:rPr>
      </w:pPr>
      <w:r w:rsidRPr="00607D84">
        <w:rPr>
          <w:rFonts w:ascii="Times New Roman" w:hAnsi="Times New Roman"/>
          <w:b w:val="0"/>
          <w:sz w:val="28"/>
          <w:szCs w:val="28"/>
        </w:rPr>
        <w:t>a) Quy hoạch san nền</w:t>
      </w:r>
    </w:p>
    <w:p w14:paraId="7F485620" w14:textId="5F15B700" w:rsidR="006D4B22" w:rsidRPr="00607D84" w:rsidRDefault="00DF0AFC" w:rsidP="00B9163C">
      <w:pPr>
        <w:spacing w:before="140"/>
        <w:ind w:firstLine="567"/>
        <w:jc w:val="both"/>
        <w:rPr>
          <w:rFonts w:ascii="Times New Roman" w:hAnsi="Times New Roman"/>
          <w:b w:val="0"/>
          <w:bCs/>
          <w:sz w:val="28"/>
          <w:szCs w:val="28"/>
        </w:rPr>
      </w:pPr>
      <w:r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Độ dốc thiết kế san nền, cao độ san nền tuân thủ theo đồ án quy hoạch phân khu được duyệt và phù hợp với địa hình hiện trạng của khu vực đảm bảo không gây ngập úng cục bộ tại khu vực khi dự án được triển khai.</w:t>
      </w:r>
    </w:p>
    <w:p w14:paraId="151CFF6A" w14:textId="12DF88E3" w:rsidR="006D4B22" w:rsidRPr="00607D84" w:rsidRDefault="00DF0AFC" w:rsidP="00B9163C">
      <w:pPr>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Cao độ nền quy hoạch (hoàn thiện) thấp nhất là +</w:t>
      </w:r>
      <w:r w:rsidR="00DC3C80"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3</w:t>
      </w:r>
      <w:r w:rsidR="00DC3C80" w:rsidRPr="00607D84">
        <w:rPr>
          <w:rFonts w:ascii="Times New Roman" w:hAnsi="Times New Roman"/>
          <w:b w:val="0"/>
          <w:bCs/>
          <w:sz w:val="28"/>
          <w:szCs w:val="28"/>
        </w:rPr>
        <w:t>,</w:t>
      </w:r>
      <w:r w:rsidR="006D4B22" w:rsidRPr="00607D84">
        <w:rPr>
          <w:rFonts w:ascii="Times New Roman" w:hAnsi="Times New Roman"/>
          <w:b w:val="0"/>
          <w:bCs/>
          <w:sz w:val="28"/>
          <w:szCs w:val="28"/>
        </w:rPr>
        <w:t>0</w:t>
      </w:r>
      <w:r w:rsidR="00DC3C80" w:rsidRPr="00607D84">
        <w:rPr>
          <w:rFonts w:ascii="Times New Roman" w:hAnsi="Times New Roman"/>
          <w:b w:val="0"/>
          <w:bCs/>
          <w:sz w:val="28"/>
          <w:szCs w:val="28"/>
        </w:rPr>
        <w:t xml:space="preserve"> </w:t>
      </w:r>
      <w:r w:rsidR="006D4B22" w:rsidRPr="00607D84">
        <w:rPr>
          <w:rFonts w:ascii="Times New Roman" w:hAnsi="Times New Roman"/>
          <w:b w:val="0"/>
          <w:bCs/>
          <w:sz w:val="28"/>
          <w:szCs w:val="28"/>
        </w:rPr>
        <w:t>m theo Quy hoạch phân khu được duyệt.</w:t>
      </w:r>
      <w:r w:rsidR="006D4B22" w:rsidRPr="00607D84">
        <w:rPr>
          <w:rFonts w:ascii="Times New Roman" w:hAnsi="Times New Roman"/>
          <w:b w:val="0"/>
          <w:bCs/>
          <w:sz w:val="28"/>
          <w:szCs w:val="28"/>
          <w:lang w:val="pl-PL"/>
        </w:rPr>
        <w:t xml:space="preserve"> Đoạn kết nối với đường Đặng Văn Trơn (cốt nền đường hiện hữu +</w:t>
      </w:r>
      <w:r w:rsidR="00DC3C80"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2</w:t>
      </w:r>
      <w:r w:rsidR="00DC3C80"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66</w:t>
      </w:r>
      <w:r w:rsidR="00DC3C80"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 cần vuốt nối đảm bảo kết nối hạ tầng kỹ thuật cho đồng bộ.</w:t>
      </w:r>
    </w:p>
    <w:p w14:paraId="5BE7E1A6" w14:textId="14012211" w:rsidR="00B26955" w:rsidRPr="00607D84" w:rsidRDefault="00DF0AFC" w:rsidP="00B9163C">
      <w:pPr>
        <w:spacing w:before="140"/>
        <w:ind w:firstLine="567"/>
        <w:jc w:val="both"/>
        <w:rPr>
          <w:rFonts w:ascii="Times New Roman" w:hAnsi="Times New Roman"/>
          <w:b w:val="0"/>
          <w:bCs/>
          <w:sz w:val="28"/>
          <w:szCs w:val="28"/>
        </w:rPr>
      </w:pPr>
      <w:r w:rsidRPr="00607D84">
        <w:rPr>
          <w:rFonts w:ascii="Times New Roman" w:hAnsi="Times New Roman"/>
          <w:b w:val="0"/>
          <w:bCs/>
          <w:sz w:val="28"/>
          <w:szCs w:val="28"/>
          <w:lang w:val="pl-PL"/>
        </w:rPr>
        <w:t xml:space="preserve">- </w:t>
      </w:r>
      <w:r w:rsidR="00B26955" w:rsidRPr="00607D84">
        <w:rPr>
          <w:rFonts w:ascii="Times New Roman" w:hAnsi="Times New Roman"/>
          <w:b w:val="0"/>
          <w:bCs/>
          <w:sz w:val="28"/>
          <w:szCs w:val="28"/>
          <w:lang w:val="pl-PL"/>
        </w:rPr>
        <w:t>Quá trình triển khai các bước tiếp theo, chủ dự án phải tính toán, thể hiện rõ khối lượng, thể tích, diện tích kênh, rạch, tuyến thoát nước tự nhiên bên trong phạm vi dự án cần san lấp; đề xuất biện pháp khắc phục để bồi hoàn phần khối lượng, thể tích, diện tích đã san lấp (mở rộng, cải tạo, xây dựng kênh, mương, rạch, cống thoát nước nhân tạo) nhằm bảo đảm sự lưu thông của dòng chảy, khả năng tiêu, thoát lũ của khu vực đảm bảo tuân thủ quy định của pháp luật về Tài nguyên nước.</w:t>
      </w:r>
    </w:p>
    <w:p w14:paraId="147F4DAB" w14:textId="1730BA6D" w:rsidR="006D4B22" w:rsidRPr="00607D84" w:rsidRDefault="006D4B22" w:rsidP="00B9163C">
      <w:pPr>
        <w:spacing w:before="140"/>
        <w:ind w:firstLine="567"/>
        <w:jc w:val="both"/>
        <w:rPr>
          <w:rFonts w:ascii="Times New Roman" w:hAnsi="Times New Roman"/>
          <w:b w:val="0"/>
          <w:sz w:val="28"/>
          <w:szCs w:val="28"/>
        </w:rPr>
      </w:pPr>
      <w:r w:rsidRPr="00607D84">
        <w:rPr>
          <w:rFonts w:ascii="Times New Roman" w:hAnsi="Times New Roman"/>
          <w:b w:val="0"/>
          <w:sz w:val="28"/>
          <w:szCs w:val="28"/>
        </w:rPr>
        <w:t>b</w:t>
      </w:r>
      <w:r w:rsidR="00DF0AFC" w:rsidRPr="00607D84">
        <w:rPr>
          <w:rFonts w:ascii="Times New Roman" w:hAnsi="Times New Roman"/>
          <w:b w:val="0"/>
          <w:sz w:val="28"/>
          <w:szCs w:val="28"/>
        </w:rPr>
        <w:t>) Quy hoạch hệ thống giao thông</w:t>
      </w:r>
    </w:p>
    <w:p w14:paraId="72D34986" w14:textId="24932783" w:rsidR="006D4B22" w:rsidRPr="00607D84" w:rsidRDefault="006D4B22" w:rsidP="00B9163C">
      <w:pPr>
        <w:spacing w:before="140"/>
        <w:ind w:firstLine="567"/>
        <w:jc w:val="both"/>
        <w:rPr>
          <w:rFonts w:ascii="Times New Roman" w:hAnsi="Times New Roman"/>
          <w:b w:val="0"/>
          <w:sz w:val="28"/>
          <w:szCs w:val="28"/>
          <w:lang w:eastAsia="ar-SA"/>
        </w:rPr>
      </w:pPr>
      <w:r w:rsidRPr="00607D84">
        <w:rPr>
          <w:rFonts w:ascii="Times New Roman" w:hAnsi="Times New Roman"/>
          <w:b w:val="0"/>
          <w:sz w:val="28"/>
          <w:szCs w:val="28"/>
          <w:lang w:val="pt-BR"/>
        </w:rPr>
        <w:t xml:space="preserve">- Giao thông đối ngoại: </w:t>
      </w:r>
      <w:r w:rsidRPr="00607D84">
        <w:rPr>
          <w:rFonts w:ascii="Times New Roman" w:hAnsi="Times New Roman"/>
          <w:b w:val="0"/>
          <w:sz w:val="28"/>
          <w:szCs w:val="28"/>
          <w:lang w:eastAsia="ar-SA"/>
        </w:rPr>
        <w:t>Quy hoạch các tuyến đường giao thông quanh khu đất trung tâm thương mại phải được nghiên cứu tính toán trên phạm vi tổng thể của đô thị Hiệp Hòa, tuân thủ theo quy hoạch phân khu A4 được phê duyệt nhằm đảm bảo đồng bộ và khớp nối tổng thể tuyến đường giao thông khu vực khi triển khai dự án Khu đô thị Hiệp Hòa (dự án đã có chủ trương đầu tư, đang trong giai đoạn lựa chọn nhà đầu tư) và phù hợp với các dự án đang triển khai tại khu vực (dự án xây dựng đường trục trung tâm - nhánh số 2 tiếp giáp ranh phía Tây Bắc của dự án).</w:t>
      </w:r>
    </w:p>
    <w:p w14:paraId="2EB8808F" w14:textId="65AE3535" w:rsidR="006D4B22" w:rsidRPr="00607D84" w:rsidRDefault="006D4B22" w:rsidP="00B9163C">
      <w:pPr>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 Đường quy hoạch 1: Lộ giới 20</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 (vỉa hè mỗi bên 5</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 mặt đường rộng 10</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w:t>
      </w:r>
    </w:p>
    <w:p w14:paraId="7728B08F" w14:textId="086EC673" w:rsidR="006D4B22" w:rsidRPr="00607D84" w:rsidRDefault="006D4B22" w:rsidP="00B9163C">
      <w:pPr>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 Đường quy hoạch 2: Lộ giới 24</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 (vỉa hè mỗi bên 5</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 mặt đường rộng 14</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w:t>
      </w:r>
    </w:p>
    <w:p w14:paraId="6F0A4A25" w14:textId="0A359A28" w:rsidR="006D4B22" w:rsidRPr="00607D84" w:rsidRDefault="006D4B22" w:rsidP="00B9163C">
      <w:pPr>
        <w:spacing w:before="140"/>
        <w:ind w:firstLine="567"/>
        <w:jc w:val="both"/>
        <w:rPr>
          <w:rFonts w:ascii="Times New Roman" w:hAnsi="Times New Roman"/>
          <w:b w:val="0"/>
          <w:sz w:val="28"/>
          <w:szCs w:val="28"/>
          <w:lang w:eastAsia="ar-SA"/>
        </w:rPr>
      </w:pPr>
      <w:r w:rsidRPr="00607D84">
        <w:rPr>
          <w:rFonts w:ascii="Times New Roman" w:hAnsi="Times New Roman"/>
          <w:b w:val="0"/>
          <w:bCs/>
          <w:sz w:val="28"/>
          <w:szCs w:val="28"/>
          <w:lang w:val="pl-PL"/>
        </w:rPr>
        <w:t>+ Đường quy hoạch 3: Lộ giới 12</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 (vỉa hè mỗi bên 2</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 mặt đường rộng 8</w:t>
      </w:r>
      <w:r w:rsidR="00D33141" w:rsidRPr="00607D84">
        <w:rPr>
          <w:rFonts w:ascii="Times New Roman" w:hAnsi="Times New Roman"/>
          <w:b w:val="0"/>
          <w:bCs/>
          <w:sz w:val="28"/>
          <w:szCs w:val="28"/>
          <w:lang w:val="pl-PL"/>
        </w:rPr>
        <w:t xml:space="preserve"> </w:t>
      </w:r>
      <w:r w:rsidRPr="00607D84">
        <w:rPr>
          <w:rFonts w:ascii="Times New Roman" w:hAnsi="Times New Roman"/>
          <w:b w:val="0"/>
          <w:bCs/>
          <w:sz w:val="28"/>
          <w:szCs w:val="28"/>
          <w:lang w:val="pl-PL"/>
        </w:rPr>
        <w:t>m).</w:t>
      </w:r>
    </w:p>
    <w:p w14:paraId="78CB525E" w14:textId="77777777" w:rsidR="006D4B22" w:rsidRPr="00607D84" w:rsidRDefault="006D4B22" w:rsidP="00B9163C">
      <w:pPr>
        <w:spacing w:before="140"/>
        <w:ind w:firstLine="567"/>
        <w:jc w:val="both"/>
        <w:rPr>
          <w:rFonts w:ascii="Times New Roman" w:hAnsi="Times New Roman"/>
          <w:b w:val="0"/>
          <w:sz w:val="28"/>
          <w:szCs w:val="28"/>
          <w:lang w:val="pt-BR"/>
        </w:rPr>
      </w:pPr>
      <w:r w:rsidRPr="00607D84">
        <w:rPr>
          <w:rFonts w:ascii="Times New Roman" w:hAnsi="Times New Roman"/>
          <w:b w:val="0"/>
          <w:sz w:val="28"/>
          <w:szCs w:val="28"/>
          <w:lang w:eastAsia="ar-SA"/>
        </w:rPr>
        <w:t xml:space="preserve">- </w:t>
      </w:r>
      <w:r w:rsidRPr="00607D84">
        <w:rPr>
          <w:rFonts w:ascii="Times New Roman" w:hAnsi="Times New Roman"/>
          <w:b w:val="0"/>
          <w:sz w:val="28"/>
          <w:szCs w:val="28"/>
          <w:lang w:val="pt-BR"/>
        </w:rPr>
        <w:t>Giao thông nội khu: Trong ranh giới trung tâm tương mại bố trí hệ thống đường nội bộ kết hợp sân bãi quanh khối nhà, đảm bảo kết nối giao thông đối ngoại và giao thông cho xe lên xuống hầm; phục vụ công tác phòng cháy chữa cháy.</w:t>
      </w:r>
    </w:p>
    <w:p w14:paraId="2B23D3C4" w14:textId="5A36E248" w:rsidR="006D4B22" w:rsidRPr="00607D84" w:rsidRDefault="006D4B22" w:rsidP="00B9163C">
      <w:pPr>
        <w:spacing w:before="140"/>
        <w:ind w:firstLine="567"/>
        <w:jc w:val="both"/>
        <w:rPr>
          <w:rFonts w:ascii="Times New Roman" w:hAnsi="Times New Roman"/>
          <w:b w:val="0"/>
          <w:sz w:val="28"/>
          <w:szCs w:val="28"/>
          <w:lang w:val="pt-BR"/>
        </w:rPr>
      </w:pPr>
      <w:r w:rsidRPr="00607D84">
        <w:rPr>
          <w:rFonts w:ascii="Times New Roman" w:hAnsi="Times New Roman"/>
          <w:b w:val="0"/>
          <w:sz w:val="28"/>
          <w:szCs w:val="28"/>
          <w:lang w:val="pt-BR"/>
        </w:rPr>
        <w:lastRenderedPageBreak/>
        <w:t xml:space="preserve">- Việc đấu nối giao thông nội khu với bên ngoài cần đảm bảo nguyên tắc: không gây ùn tắc và mất an toàn giao thông khi dự án đi vào hoạt động; bố trí vịnh đậu xe tại các vị trí lối ra vào; vị trí lối ra vào cần đảm bảo tuân thủ khoảng cách đến ngã tư đường giao thông theo tiêu chuẩn hiện hành. Trong giai đoạn triển khai các bước tiếp theo, đề nghị thực hiện thỏa thuận đấu nối về mặt giao thông của dự án </w:t>
      </w:r>
      <w:r w:rsidR="00DC3C80" w:rsidRPr="00607D84">
        <w:rPr>
          <w:rFonts w:ascii="Times New Roman" w:hAnsi="Times New Roman"/>
          <w:b w:val="0"/>
          <w:sz w:val="28"/>
          <w:szCs w:val="28"/>
          <w:lang w:val="pt-BR"/>
        </w:rPr>
        <w:t>t</w:t>
      </w:r>
      <w:r w:rsidRPr="00607D84">
        <w:rPr>
          <w:rFonts w:ascii="Times New Roman" w:hAnsi="Times New Roman"/>
          <w:b w:val="0"/>
          <w:sz w:val="28"/>
          <w:szCs w:val="28"/>
          <w:lang w:val="pt-BR"/>
        </w:rPr>
        <w:t xml:space="preserve">rung tâm thương mại tại phường Hiệp Hòa với hệ thống hiện hữu của khu vực (lưu ý phương án tổ chức giao thông </w:t>
      </w:r>
      <w:r w:rsidR="00E7419F">
        <w:rPr>
          <w:rFonts w:ascii="Times New Roman" w:hAnsi="Times New Roman"/>
          <w:b w:val="0"/>
          <w:sz w:val="28"/>
          <w:szCs w:val="28"/>
          <w:lang w:val="pt-BR"/>
        </w:rPr>
        <w:t>theo yêu cầu của Sở Giao thông v</w:t>
      </w:r>
      <w:r w:rsidRPr="00607D84">
        <w:rPr>
          <w:rFonts w:ascii="Times New Roman" w:hAnsi="Times New Roman"/>
          <w:b w:val="0"/>
          <w:sz w:val="28"/>
          <w:szCs w:val="28"/>
          <w:lang w:val="pt-BR"/>
        </w:rPr>
        <w:t>ận tải tại Văn bản số 4126/SGTVT-KHTC ngày 21/8/2024).</w:t>
      </w:r>
    </w:p>
    <w:p w14:paraId="187FC42C" w14:textId="3C79CC0D" w:rsidR="006D4B22" w:rsidRPr="00607D84" w:rsidRDefault="006D4B22" w:rsidP="00B9163C">
      <w:pPr>
        <w:spacing w:before="140"/>
        <w:ind w:firstLine="567"/>
        <w:jc w:val="both"/>
        <w:rPr>
          <w:rFonts w:ascii="Times New Roman" w:hAnsi="Times New Roman"/>
          <w:b w:val="0"/>
          <w:bCs/>
          <w:sz w:val="28"/>
          <w:szCs w:val="28"/>
          <w:lang w:eastAsia="ar-SA"/>
        </w:rPr>
      </w:pPr>
      <w:r w:rsidRPr="00607D84">
        <w:rPr>
          <w:rFonts w:ascii="Times New Roman" w:hAnsi="Times New Roman"/>
          <w:b w:val="0"/>
          <w:bCs/>
          <w:sz w:val="28"/>
          <w:szCs w:val="28"/>
          <w:lang w:eastAsia="ar-SA"/>
        </w:rPr>
        <w:t>c) Qu</w:t>
      </w:r>
      <w:r w:rsidR="00DF0AFC" w:rsidRPr="00607D84">
        <w:rPr>
          <w:rFonts w:ascii="Times New Roman" w:hAnsi="Times New Roman"/>
          <w:b w:val="0"/>
          <w:bCs/>
          <w:sz w:val="28"/>
          <w:szCs w:val="28"/>
          <w:lang w:eastAsia="ar-SA"/>
        </w:rPr>
        <w:t>y hoạch hệ thống thoát nước mưa</w:t>
      </w:r>
    </w:p>
    <w:p w14:paraId="789587C6" w14:textId="3E0A6258" w:rsidR="006D4B22" w:rsidRPr="00607D84" w:rsidRDefault="00DF0AFC" w:rsidP="00B9163C">
      <w:pPr>
        <w:widowControl w:val="0"/>
        <w:spacing w:before="14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Phạm vi trung tâm thương mại:</w:t>
      </w:r>
    </w:p>
    <w:p w14:paraId="1B86B530" w14:textId="514F78A9"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Quy hoạch hệ thống thoát nước mưa riêng, độc lập với hệ thống thoát nước thải.</w:t>
      </w:r>
    </w:p>
    <w:p w14:paraId="19E1A877" w14:textId="2FC187E6"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Hướng thoát nước: Hướng thoát nước toàn khu vực theo kiểu phân tán từ công trình chính về phía các đường tiếp giáp, dẫn ra nguồn tiếp nhận tại các hố ga của các tuyến đường gần nhất, đảm bảo tiêu thoát nước nhanh, thuận lợi; nước mưa chủ yếu thu gom, dẫn về hệ thống cống trên các tuyến đường xung quanh dự án.</w:t>
      </w:r>
    </w:p>
    <w:p w14:paraId="01088F49" w14:textId="5A6051B8" w:rsidR="006D4B22" w:rsidRPr="00607D84" w:rsidRDefault="00DF0AFC" w:rsidP="00B9163C">
      <w:pPr>
        <w:widowControl w:val="0"/>
        <w:spacing w:before="14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Phạ</w:t>
      </w:r>
      <w:r w:rsidR="00DC3C80" w:rsidRPr="00607D84">
        <w:rPr>
          <w:rFonts w:ascii="Times New Roman" w:hAnsi="Times New Roman"/>
          <w:b w:val="0"/>
          <w:sz w:val="28"/>
          <w:szCs w:val="28"/>
          <w:lang w:val="pl-PL"/>
        </w:rPr>
        <w:t>m vi 03 tuyến đường giao thông:</w:t>
      </w:r>
    </w:p>
    <w:p w14:paraId="406DA3E2" w14:textId="7B89C661"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Nước mưa trên bề mặt sẽ được gom về các tuyến cống D800, D1000, D1200 chạy d</w:t>
      </w:r>
      <w:r w:rsidR="00DC3C80" w:rsidRPr="00607D84">
        <w:rPr>
          <w:rFonts w:ascii="Times New Roman" w:hAnsi="Times New Roman"/>
          <w:b w:val="0"/>
          <w:bCs/>
          <w:sz w:val="28"/>
          <w:szCs w:val="28"/>
          <w:lang w:val="pl-PL"/>
        </w:rPr>
        <w:t>ọc trên vỉa hè các tuyến đường.</w:t>
      </w:r>
    </w:p>
    <w:p w14:paraId="4934F011" w14:textId="52B03331"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Hệ thống thoát nước mưa (thoát riêng) được xây dựng mới hoàn toàn bằng cống tròn </w:t>
      </w:r>
      <w:r w:rsidR="00DC3C80" w:rsidRPr="00607D84">
        <w:rPr>
          <w:rFonts w:ascii="Times New Roman" w:hAnsi="Times New Roman"/>
          <w:b w:val="0"/>
          <w:bCs/>
          <w:sz w:val="28"/>
          <w:szCs w:val="28"/>
          <w:lang w:val="pl-PL"/>
        </w:rPr>
        <w:t>bê tông cốt thép</w:t>
      </w:r>
      <w:r w:rsidR="006D4B22" w:rsidRPr="00607D84">
        <w:rPr>
          <w:rFonts w:ascii="Times New Roman" w:hAnsi="Times New Roman"/>
          <w:b w:val="0"/>
          <w:bCs/>
          <w:sz w:val="28"/>
          <w:szCs w:val="28"/>
          <w:lang w:val="pl-PL"/>
        </w:rPr>
        <w:t xml:space="preserve">, tách riêng với nước thải, hướng thoát nước phù hợp với địa hình tự nhiên và </w:t>
      </w:r>
      <w:r w:rsidR="00DC3C80" w:rsidRPr="00607D84">
        <w:rPr>
          <w:rFonts w:ascii="Times New Roman" w:hAnsi="Times New Roman"/>
          <w:b w:val="0"/>
          <w:bCs/>
          <w:sz w:val="28"/>
          <w:szCs w:val="28"/>
          <w:lang w:val="pl-PL"/>
        </w:rPr>
        <w:t>q</w:t>
      </w:r>
      <w:r w:rsidR="006D4B22" w:rsidRPr="00607D84">
        <w:rPr>
          <w:rFonts w:ascii="Times New Roman" w:hAnsi="Times New Roman"/>
          <w:b w:val="0"/>
          <w:bCs/>
          <w:sz w:val="28"/>
          <w:szCs w:val="28"/>
          <w:lang w:val="pl-PL"/>
        </w:rPr>
        <w:t>uy hoạch phân khu được duyệt.</w:t>
      </w:r>
    </w:p>
    <w:p w14:paraId="0EEA8EC0" w14:textId="5FE72957" w:rsidR="006D4B22" w:rsidRPr="00607D84" w:rsidRDefault="00DF0AFC" w:rsidP="00B9163C">
      <w:pPr>
        <w:spacing w:before="140"/>
        <w:ind w:firstLine="567"/>
        <w:jc w:val="both"/>
        <w:rPr>
          <w:rFonts w:ascii="Times New Roman" w:hAnsi="Times New Roman"/>
          <w:b w:val="0"/>
          <w:bCs/>
          <w:sz w:val="28"/>
          <w:szCs w:val="28"/>
          <w:lang w:eastAsia="ar-SA"/>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w:t>
      </w:r>
      <w:r w:rsidR="006D4B22" w:rsidRPr="00607D84">
        <w:rPr>
          <w:rFonts w:ascii="Times New Roman" w:hAnsi="Times New Roman"/>
          <w:b w:val="0"/>
          <w:bCs/>
          <w:sz w:val="28"/>
          <w:szCs w:val="28"/>
          <w:lang w:val="pl-PL"/>
        </w:rPr>
        <w:t>Nước mưa được thu gom và thoát ra hệ thống cống thoá</w:t>
      </w:r>
      <w:r w:rsidRPr="00607D84">
        <w:rPr>
          <w:rFonts w:ascii="Times New Roman" w:hAnsi="Times New Roman"/>
          <w:b w:val="0"/>
          <w:bCs/>
          <w:sz w:val="28"/>
          <w:szCs w:val="28"/>
          <w:lang w:val="pl-PL"/>
        </w:rPr>
        <w:t xml:space="preserve">t nước của tuyến đường Đặng Văn Trơn </w:t>
      </w:r>
      <w:r w:rsidR="006D4B22" w:rsidRPr="00607D84">
        <w:rPr>
          <w:rFonts w:ascii="Times New Roman" w:hAnsi="Times New Roman"/>
          <w:b w:val="0"/>
          <w:bCs/>
          <w:sz w:val="28"/>
          <w:szCs w:val="28"/>
          <w:lang w:val="pl-PL"/>
        </w:rPr>
        <w:t>và một phần được thu gom thoát về nhánh rạch Vàm Ông Áng hiện hữu.</w:t>
      </w:r>
    </w:p>
    <w:p w14:paraId="577315AB" w14:textId="5CAD1907" w:rsidR="006D4B22" w:rsidRPr="00607D84" w:rsidRDefault="006D4B22" w:rsidP="00B9163C">
      <w:pPr>
        <w:spacing w:before="140"/>
        <w:ind w:firstLine="567"/>
        <w:jc w:val="both"/>
        <w:rPr>
          <w:rFonts w:ascii="Times New Roman" w:hAnsi="Times New Roman"/>
          <w:b w:val="0"/>
          <w:bCs/>
          <w:sz w:val="28"/>
          <w:szCs w:val="28"/>
          <w:lang w:eastAsia="ar-SA"/>
        </w:rPr>
      </w:pPr>
      <w:r w:rsidRPr="00607D84">
        <w:rPr>
          <w:rFonts w:ascii="Times New Roman" w:hAnsi="Times New Roman"/>
          <w:b w:val="0"/>
          <w:bCs/>
          <w:sz w:val="28"/>
          <w:szCs w:val="28"/>
          <w:lang w:eastAsia="ar-SA"/>
        </w:rPr>
        <w:t>d) Quy hoạch thoát</w:t>
      </w:r>
      <w:r w:rsidR="00DF0AFC" w:rsidRPr="00607D84">
        <w:rPr>
          <w:rFonts w:ascii="Times New Roman" w:hAnsi="Times New Roman"/>
          <w:b w:val="0"/>
          <w:bCs/>
          <w:sz w:val="28"/>
          <w:szCs w:val="28"/>
          <w:lang w:eastAsia="ar-SA"/>
        </w:rPr>
        <w:t xml:space="preserve"> nước thải và bảo vệ môi trường</w:t>
      </w:r>
    </w:p>
    <w:p w14:paraId="75132A9E" w14:textId="36282A96" w:rsidR="006D4B22" w:rsidRPr="00607D84" w:rsidRDefault="00DF0AFC" w:rsidP="00B9163C">
      <w:pPr>
        <w:spacing w:before="14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Trong phạm vi khu đất trung tâm thương mại:</w:t>
      </w:r>
    </w:p>
    <w:p w14:paraId="7B56E602" w14:textId="33B93D2E"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Hệ thống thoát nước thải được tách riêng với hệ thống thoát nước mưa. Mạng lưới thoát nước thải đảm bảo chức năng thu gom nước thải trong khu </w:t>
      </w:r>
      <w:r w:rsidR="006D4B22" w:rsidRPr="00607D84">
        <w:rPr>
          <w:rFonts w:ascii="Times New Roman" w:hAnsi="Times New Roman"/>
          <w:b w:val="0"/>
          <w:bCs/>
          <w:sz w:val="28"/>
          <w:szCs w:val="28"/>
          <w:lang w:val="vi-VN"/>
        </w:rPr>
        <w:t xml:space="preserve">đất </w:t>
      </w:r>
      <w:r w:rsidR="006D4B22" w:rsidRPr="00607D84">
        <w:rPr>
          <w:rFonts w:ascii="Times New Roman" w:hAnsi="Times New Roman"/>
          <w:b w:val="0"/>
          <w:bCs/>
          <w:sz w:val="28"/>
          <w:szCs w:val="28"/>
          <w:lang w:val="pl-PL"/>
        </w:rPr>
        <w:t>đưa về hệ thống xử lý trước khi đấu nối vào vị trí hố ga thoát nước các tuyến đường xung quanh.</w:t>
      </w:r>
    </w:p>
    <w:p w14:paraId="4FC2C93F" w14:textId="6DC062B0"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Đầu tư xây dựng hệ thống xử lý nước thải tập trung cho dự án (trong khi trạm xử lý nước thải theo quy hoạch phân khu chưa được đầu tư) với tổng công suất dự kiến khoảng 1.700</w:t>
      </w:r>
      <w:r w:rsidR="00D33141"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m³/ngày đêm (giai đoạn 1: 1.400</w:t>
      </w:r>
      <w:r w:rsidR="00D33141"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m³/ngày đêm; giai đoạn 2: 300</w:t>
      </w:r>
      <w:r w:rsidR="00D33141"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m³/ngày đêm).</w:t>
      </w:r>
    </w:p>
    <w:p w14:paraId="7EAF4CBA" w14:textId="4CA8B3D8" w:rsidR="006D4B22" w:rsidRPr="00607D84" w:rsidRDefault="00DF0AFC" w:rsidP="00B9163C">
      <w:pPr>
        <w:widowControl w:val="0"/>
        <w:tabs>
          <w:tab w:val="left" w:pos="2977"/>
        </w:tabs>
        <w:spacing w:before="14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Toàn bộ nước thải dự án sẽ được thu gom và đưa về hệ thống xử lý để xử lý đạt tiêu chuẩn theo quy định trong QCVN 14:2008/BTNMT trước khi đấu nối vào hố ga thoát nước </w:t>
      </w:r>
      <w:r w:rsidR="006D4B22" w:rsidRPr="00607D84">
        <w:rPr>
          <w:rFonts w:ascii="Times New Roman" w:hAnsi="Times New Roman"/>
          <w:b w:val="0"/>
          <w:bCs/>
          <w:sz w:val="28"/>
          <w:szCs w:val="28"/>
          <w:lang w:val="vi-VN"/>
        </w:rPr>
        <w:t>của tuyến đường</w:t>
      </w:r>
      <w:r w:rsidR="006D4B22" w:rsidRPr="00607D84">
        <w:rPr>
          <w:rFonts w:ascii="Times New Roman" w:hAnsi="Times New Roman"/>
          <w:b w:val="0"/>
          <w:bCs/>
          <w:sz w:val="28"/>
          <w:szCs w:val="28"/>
          <w:lang w:val="pl-PL"/>
        </w:rPr>
        <w:t xml:space="preserve"> số 1, sau</w:t>
      </w:r>
      <w:r w:rsidR="006D4B22" w:rsidRPr="00607D84">
        <w:rPr>
          <w:rFonts w:ascii="Times New Roman" w:hAnsi="Times New Roman"/>
          <w:b w:val="0"/>
          <w:bCs/>
          <w:sz w:val="28"/>
          <w:szCs w:val="28"/>
          <w:lang w:val="vi-VN"/>
        </w:rPr>
        <w:t xml:space="preserve"> đó </w:t>
      </w:r>
      <w:r w:rsidR="006D4B22" w:rsidRPr="00607D84">
        <w:rPr>
          <w:rFonts w:ascii="Times New Roman" w:hAnsi="Times New Roman"/>
          <w:b w:val="0"/>
          <w:bCs/>
          <w:sz w:val="28"/>
          <w:szCs w:val="28"/>
          <w:lang w:val="pl-PL"/>
        </w:rPr>
        <w:t xml:space="preserve">thoát ra </w:t>
      </w:r>
      <w:r w:rsidR="006D4B22" w:rsidRPr="00607D84">
        <w:rPr>
          <w:rFonts w:ascii="Times New Roman" w:hAnsi="Times New Roman"/>
          <w:b w:val="0"/>
          <w:bCs/>
          <w:sz w:val="28"/>
          <w:szCs w:val="28"/>
          <w:lang w:val="vi-VN"/>
        </w:rPr>
        <w:t>hệ thống cống thoát nước mưa trên đường Đặng Văn Trơn</w:t>
      </w:r>
      <w:r w:rsidR="006D4B22" w:rsidRPr="00607D84">
        <w:rPr>
          <w:rFonts w:ascii="Times New Roman" w:hAnsi="Times New Roman"/>
          <w:b w:val="0"/>
          <w:bCs/>
          <w:sz w:val="28"/>
          <w:szCs w:val="28"/>
        </w:rPr>
        <w:t xml:space="preserve"> (đầu tư trong thời gian tới đồng bộ với thời điểm dự án đi vào hoạt động)</w:t>
      </w:r>
      <w:r w:rsidR="006D4B22" w:rsidRPr="00607D84">
        <w:rPr>
          <w:rFonts w:ascii="Times New Roman" w:hAnsi="Times New Roman"/>
          <w:b w:val="0"/>
          <w:bCs/>
          <w:sz w:val="28"/>
          <w:szCs w:val="28"/>
          <w:lang w:val="vi-VN"/>
        </w:rPr>
        <w:t>.</w:t>
      </w:r>
    </w:p>
    <w:p w14:paraId="261F696B" w14:textId="7F084586" w:rsidR="006D4B22" w:rsidRPr="00607D84" w:rsidRDefault="00DF0AFC"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lastRenderedPageBreak/>
        <w:t>+</w:t>
      </w:r>
      <w:r w:rsidR="006D4B22" w:rsidRPr="00607D84">
        <w:rPr>
          <w:rFonts w:ascii="Times New Roman" w:hAnsi="Times New Roman"/>
          <w:b w:val="0"/>
          <w:bCs/>
          <w:sz w:val="28"/>
          <w:szCs w:val="28"/>
          <w:lang w:val="pl-PL"/>
        </w:rPr>
        <w:t xml:space="preserve"> Tổng khối lượng chất thải rắn sinh hoạt phát sinh trong dự án với tiêu chuẩn là 1,3</w:t>
      </w:r>
      <w:r w:rsidR="00DC3C80"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kg/người/ngày đêm; rác thải được phân loại tại nguồn và thu gom hàng ngày, tập kết tại trạm thu gom rác tập trung của dự án và được xe vận chuyển về các khu xử lý rác tập trung để xử lý.</w:t>
      </w:r>
    </w:p>
    <w:p w14:paraId="1E1BEC70" w14:textId="173FAC08" w:rsidR="006D4B22" w:rsidRPr="00607D84" w:rsidRDefault="00DF0AFC"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Bảo vệ môi trường: Thực hiện thủ tục liên quan việc xả thải theo quy định trước khi xả ra môi trường.</w:t>
      </w:r>
    </w:p>
    <w:p w14:paraId="2E336893" w14:textId="7B6020A2" w:rsidR="006D4B22" w:rsidRPr="00607D84" w:rsidRDefault="00DF0AFC" w:rsidP="00580CDA">
      <w:pPr>
        <w:widowControl w:val="0"/>
        <w:spacing w:before="120"/>
        <w:ind w:firstLine="567"/>
        <w:jc w:val="both"/>
        <w:rPr>
          <w:rFonts w:ascii="Times New Roman" w:hAnsi="Times New Roman"/>
          <w:b w:val="0"/>
          <w:bCs/>
          <w:sz w:val="28"/>
          <w:szCs w:val="28"/>
          <w:lang w:eastAsia="ar-SA"/>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Phạm vi 03 tuyến đường giao thông: Tại </w:t>
      </w:r>
      <w:r w:rsidR="00DC3C80" w:rsidRPr="00607D84">
        <w:rPr>
          <w:rFonts w:ascii="Times New Roman" w:hAnsi="Times New Roman"/>
          <w:b w:val="0"/>
          <w:sz w:val="28"/>
          <w:szCs w:val="28"/>
          <w:lang w:val="pl-PL"/>
        </w:rPr>
        <w:t>0</w:t>
      </w:r>
      <w:r w:rsidR="006D4B22" w:rsidRPr="00607D84">
        <w:rPr>
          <w:rFonts w:ascii="Times New Roman" w:hAnsi="Times New Roman"/>
          <w:b w:val="0"/>
          <w:sz w:val="28"/>
          <w:szCs w:val="28"/>
          <w:lang w:val="pl-PL"/>
        </w:rPr>
        <w:t xml:space="preserve">3 tuyến đường giao thông xung quanh dự án sẽ bố trí hệ thống cống, hố ga thoát nước thải, có hướng tuyến theo quy hoạch phân khu 1/5000 được phê duyệt. Hệ thống cống thoát nước thải sẽ được đấu nối vào </w:t>
      </w:r>
      <w:r w:rsidR="006D4B22" w:rsidRPr="00607D84">
        <w:rPr>
          <w:rFonts w:ascii="Times New Roman" w:hAnsi="Times New Roman"/>
          <w:b w:val="0"/>
          <w:bCs/>
          <w:sz w:val="28"/>
          <w:szCs w:val="28"/>
          <w:lang w:val="pl-PL"/>
        </w:rPr>
        <w:t>hệ thống thoát nước thải chung của thành phố khi hệ thống này và trạm xử lý nước thải tập trung của khu vực được triển khai thực tế.</w:t>
      </w:r>
    </w:p>
    <w:p w14:paraId="053F885A" w14:textId="7E05FA0B" w:rsidR="006D4B22" w:rsidRPr="00607D84" w:rsidRDefault="00DF0AFC" w:rsidP="00580CDA">
      <w:pPr>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đ) Quy hoạch hệ thống cấp nước</w:t>
      </w:r>
    </w:p>
    <w:p w14:paraId="2F8CA64A" w14:textId="051B6248" w:rsidR="00FA199E" w:rsidRPr="00607D84" w:rsidRDefault="00FA199E" w:rsidP="00580CDA">
      <w:pPr>
        <w:widowControl w:val="0"/>
        <w:spacing w:before="12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 Tổng nhu cầu dùng nước: 2.000 m</w:t>
      </w:r>
      <w:r w:rsidRPr="00607D84">
        <w:rPr>
          <w:rFonts w:ascii="Times New Roman" w:hAnsi="Times New Roman"/>
          <w:b w:val="0"/>
          <w:sz w:val="28"/>
          <w:szCs w:val="28"/>
          <w:vertAlign w:val="superscript"/>
          <w:lang w:val="pl-PL"/>
        </w:rPr>
        <w:t>3</w:t>
      </w:r>
      <w:r w:rsidRPr="00607D84">
        <w:rPr>
          <w:rFonts w:ascii="Times New Roman" w:hAnsi="Times New Roman"/>
          <w:b w:val="0"/>
          <w:sz w:val="28"/>
          <w:szCs w:val="28"/>
          <w:lang w:val="pl-PL"/>
        </w:rPr>
        <w:t>/ngày.</w:t>
      </w:r>
    </w:p>
    <w:p w14:paraId="715E99F7" w14:textId="47623C22" w:rsidR="006D4B22" w:rsidRPr="00607D84" w:rsidRDefault="001D5949" w:rsidP="00580CDA">
      <w:pPr>
        <w:widowControl w:val="0"/>
        <w:spacing w:before="12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Trong phạm vi trung tâm thương mại:</w:t>
      </w:r>
    </w:p>
    <w:p w14:paraId="55459E8D" w14:textId="63216A8A"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Nguồn nước cấp cho khu đất </w:t>
      </w:r>
      <w:r w:rsidR="00FA199E" w:rsidRPr="00607D84">
        <w:rPr>
          <w:rFonts w:ascii="Times New Roman" w:hAnsi="Times New Roman"/>
          <w:b w:val="0"/>
          <w:bCs/>
          <w:sz w:val="28"/>
          <w:szCs w:val="28"/>
          <w:lang w:val="pl-PL"/>
        </w:rPr>
        <w:t>trung tâm thương mại</w:t>
      </w:r>
      <w:r w:rsidR="006D4B22" w:rsidRPr="00607D84">
        <w:rPr>
          <w:rFonts w:ascii="Times New Roman" w:hAnsi="Times New Roman"/>
          <w:b w:val="0"/>
          <w:bCs/>
          <w:sz w:val="28"/>
          <w:szCs w:val="28"/>
          <w:lang w:val="pl-PL"/>
        </w:rPr>
        <w:t xml:space="preserve"> dự kiến được lấy từ tuyến ống chuyển tải chính trên đường Đặng Văn Trơn có đường kính D300mm.</w:t>
      </w:r>
    </w:p>
    <w:p w14:paraId="6AE070F2" w14:textId="31D0E9E7"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Nhu cầu dùng nước trong dự án bao gồm nước phục vụ sinh hoạt - dịch vụ, nước công cộng, nước tưới cây rửa đường và nước cho phòng cháy chữa cháy. Mạng lưới cấp nước trong phạm vi khu đất được thể hiện cụ thể ở giai đoạn lập Báo cáo nghiên cứu khả thi. Hệ thống cấp nước </w:t>
      </w:r>
      <w:r w:rsidR="00FA199E" w:rsidRPr="00607D84">
        <w:rPr>
          <w:rFonts w:ascii="Times New Roman" w:hAnsi="Times New Roman"/>
          <w:b w:val="0"/>
          <w:bCs/>
          <w:sz w:val="28"/>
          <w:szCs w:val="28"/>
          <w:lang w:val="pl-PL"/>
        </w:rPr>
        <w:t>phòng cháy chữa cháy</w:t>
      </w:r>
      <w:r w:rsidR="006D4B22" w:rsidRPr="00607D84">
        <w:rPr>
          <w:rFonts w:ascii="Times New Roman" w:hAnsi="Times New Roman"/>
          <w:b w:val="0"/>
          <w:bCs/>
          <w:sz w:val="28"/>
          <w:szCs w:val="28"/>
          <w:lang w:val="pl-PL"/>
        </w:rPr>
        <w:t xml:space="preserve"> phải được cơ quan chuyên ngành về </w:t>
      </w:r>
      <w:r w:rsidR="00FA199E" w:rsidRPr="00607D84">
        <w:rPr>
          <w:rFonts w:ascii="Times New Roman" w:hAnsi="Times New Roman"/>
          <w:b w:val="0"/>
          <w:bCs/>
          <w:sz w:val="28"/>
          <w:szCs w:val="28"/>
          <w:lang w:val="pl-PL"/>
        </w:rPr>
        <w:t>phòng cháy chữa cháy</w:t>
      </w:r>
      <w:r w:rsidR="006D4B22" w:rsidRPr="00607D84">
        <w:rPr>
          <w:rFonts w:ascii="Times New Roman" w:hAnsi="Times New Roman"/>
          <w:b w:val="0"/>
          <w:bCs/>
          <w:sz w:val="28"/>
          <w:szCs w:val="28"/>
          <w:lang w:val="pl-PL"/>
        </w:rPr>
        <w:t xml:space="preserve"> thẩm duyệt ở các bước tiếp theo theo đúng quy định.</w:t>
      </w:r>
    </w:p>
    <w:p w14:paraId="3F59D911" w14:textId="1D90D3F2" w:rsidR="006D4B22" w:rsidRPr="00607D84" w:rsidRDefault="001D5949" w:rsidP="00580CDA">
      <w:pPr>
        <w:widowControl w:val="0"/>
        <w:spacing w:before="12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Phạm vi 03 tuyến đường giao thông:</w:t>
      </w:r>
    </w:p>
    <w:p w14:paraId="74E94367" w14:textId="36AA10EB"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Trên vỉa hè các tuyến đường giao thông xung quanh bố trí đường ống cấp và các trụ cứu hỏa với khoảng cách trung bình không vượt quá 150</w:t>
      </w:r>
      <w:r w:rsidR="00DC3C80"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m/trụ, để thuận tiện cho việc lấy nước chữa cháy.</w:t>
      </w:r>
    </w:p>
    <w:p w14:paraId="33CBCBA4" w14:textId="3B938705"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Nguồn nước cấp các tuyến đường xung quanh được tách riêng biệt với đường cấp nước cho trung tâm thương mại, nguồn cấp nước lấy từ tuyến ống chuyển tải chính trên đường Đặng Văn Trơn có đường kính D300mm.</w:t>
      </w:r>
    </w:p>
    <w:p w14:paraId="2C502AEC" w14:textId="29747CAF" w:rsidR="006D4B22" w:rsidRPr="00607D84" w:rsidRDefault="006D4B22" w:rsidP="00580CDA">
      <w:pPr>
        <w:widowControl w:val="0"/>
        <w:tabs>
          <w:tab w:val="left" w:pos="2977"/>
        </w:tabs>
        <w:spacing w:before="120"/>
        <w:ind w:firstLine="567"/>
        <w:jc w:val="both"/>
        <w:rPr>
          <w:rFonts w:ascii="Times New Roman" w:hAnsi="Times New Roman"/>
          <w:b w:val="0"/>
          <w:sz w:val="28"/>
          <w:szCs w:val="28"/>
        </w:rPr>
      </w:pPr>
      <w:r w:rsidRPr="00607D84">
        <w:rPr>
          <w:rFonts w:ascii="Times New Roman" w:hAnsi="Times New Roman"/>
          <w:b w:val="0"/>
          <w:bCs/>
          <w:sz w:val="28"/>
          <w:szCs w:val="28"/>
          <w:lang w:val="pl-PL"/>
        </w:rPr>
        <w:t xml:space="preserve">e) </w:t>
      </w:r>
      <w:r w:rsidRPr="00607D84">
        <w:rPr>
          <w:rFonts w:ascii="Times New Roman" w:hAnsi="Times New Roman"/>
          <w:b w:val="0"/>
          <w:sz w:val="28"/>
          <w:szCs w:val="28"/>
        </w:rPr>
        <w:t>Quy hoạch</w:t>
      </w:r>
      <w:r w:rsidR="001D5949" w:rsidRPr="00607D84">
        <w:rPr>
          <w:rFonts w:ascii="Times New Roman" w:hAnsi="Times New Roman"/>
          <w:b w:val="0"/>
          <w:sz w:val="28"/>
          <w:szCs w:val="28"/>
        </w:rPr>
        <w:t xml:space="preserve"> hệ thống cấp điện, chiếu sáng</w:t>
      </w:r>
    </w:p>
    <w:p w14:paraId="1A8B5922" w14:textId="50454F2D" w:rsidR="006D4B22" w:rsidRPr="00607D84" w:rsidRDefault="001D5949" w:rsidP="00580CDA">
      <w:pPr>
        <w:widowControl w:val="0"/>
        <w:spacing w:before="120"/>
        <w:ind w:firstLine="567"/>
        <w:jc w:val="both"/>
        <w:rPr>
          <w:rFonts w:ascii="Times New Roman" w:hAnsi="Times New Roman"/>
          <w:b w:val="0"/>
          <w:sz w:val="28"/>
          <w:szCs w:val="28"/>
          <w:lang w:val="pl-PL"/>
        </w:rPr>
      </w:pPr>
      <w:r w:rsidRPr="00607D84">
        <w:rPr>
          <w:rFonts w:ascii="Times New Roman" w:hAnsi="Times New Roman"/>
          <w:b w:val="0"/>
          <w:sz w:val="28"/>
          <w:szCs w:val="28"/>
          <w:lang w:val="pl-PL"/>
        </w:rPr>
        <w:t>-</w:t>
      </w:r>
      <w:r w:rsidR="006D4B22" w:rsidRPr="00607D84">
        <w:rPr>
          <w:rFonts w:ascii="Times New Roman" w:hAnsi="Times New Roman"/>
          <w:b w:val="0"/>
          <w:sz w:val="28"/>
          <w:szCs w:val="28"/>
          <w:lang w:val="pl-PL"/>
        </w:rPr>
        <w:t xml:space="preserve"> Trong phạm vi trung tâm thương mại:</w:t>
      </w:r>
    </w:p>
    <w:p w14:paraId="6EE72612" w14:textId="7F65E0BD"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vi-VN"/>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Nguồn điện</w:t>
      </w:r>
      <w:r w:rsidR="006D4B22" w:rsidRPr="00607D84">
        <w:rPr>
          <w:rFonts w:ascii="Times New Roman" w:hAnsi="Times New Roman"/>
          <w:b w:val="0"/>
          <w:bCs/>
          <w:sz w:val="28"/>
          <w:szCs w:val="28"/>
          <w:lang w:val="vi-VN"/>
        </w:rPr>
        <w:t xml:space="preserve">: </w:t>
      </w:r>
      <w:r w:rsidR="006D4B22" w:rsidRPr="00607D84">
        <w:rPr>
          <w:rFonts w:ascii="Times New Roman" w:hAnsi="Times New Roman"/>
          <w:b w:val="0"/>
          <w:sz w:val="28"/>
          <w:szCs w:val="28"/>
        </w:rPr>
        <w:t>Nguồn điện cấp cho dự án được đấu nối vào hệ thống lưới điện do Công ty TNHH MTV Điện lực Đồng Nai quản lý (do nhu cầu phụ tải của dự án là rất lớn nên phương án chi tiết theo thỏa thuận đấu nối với Công ty TNHH MTV Điện lực Đồng Nai).</w:t>
      </w:r>
    </w:p>
    <w:p w14:paraId="34AC6DA3" w14:textId="4336F610"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6D4B22" w:rsidRPr="00607D84">
        <w:rPr>
          <w:rFonts w:ascii="Times New Roman" w:hAnsi="Times New Roman"/>
          <w:b w:val="0"/>
          <w:bCs/>
          <w:sz w:val="28"/>
          <w:szCs w:val="28"/>
          <w:lang w:val="pl-PL"/>
        </w:rPr>
        <w:t xml:space="preserve"> Tổng nhu cầu sử dụng điện dự kiến là 25</w:t>
      </w:r>
      <w:r w:rsidR="004273E9" w:rsidRPr="00607D84">
        <w:rPr>
          <w:rFonts w:ascii="Times New Roman" w:hAnsi="Times New Roman"/>
          <w:b w:val="0"/>
          <w:bCs/>
          <w:sz w:val="28"/>
          <w:szCs w:val="28"/>
          <w:lang w:val="pl-PL"/>
        </w:rPr>
        <w:t xml:space="preserve"> </w:t>
      </w:r>
      <w:r w:rsidR="00E7419F">
        <w:rPr>
          <w:rFonts w:ascii="Times New Roman" w:hAnsi="Times New Roman"/>
          <w:b w:val="0"/>
          <w:bCs/>
          <w:sz w:val="28"/>
          <w:szCs w:val="28"/>
          <w:lang w:val="pl-PL"/>
        </w:rPr>
        <w:t>MVA (g</w:t>
      </w:r>
      <w:r w:rsidR="006D4B22" w:rsidRPr="00607D84">
        <w:rPr>
          <w:rFonts w:ascii="Times New Roman" w:hAnsi="Times New Roman"/>
          <w:b w:val="0"/>
          <w:bCs/>
          <w:sz w:val="28"/>
          <w:szCs w:val="28"/>
          <w:lang w:val="pl-PL"/>
        </w:rPr>
        <w:t>iai đoạn 1: 15</w:t>
      </w:r>
      <w:r w:rsidR="004273E9"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MVA và giai đoạn 2: 10</w:t>
      </w:r>
      <w:r w:rsidR="004273E9" w:rsidRPr="00607D84">
        <w:rPr>
          <w:rFonts w:ascii="Times New Roman" w:hAnsi="Times New Roman"/>
          <w:b w:val="0"/>
          <w:bCs/>
          <w:sz w:val="28"/>
          <w:szCs w:val="28"/>
          <w:lang w:val="pl-PL"/>
        </w:rPr>
        <w:t xml:space="preserve"> </w:t>
      </w:r>
      <w:r w:rsidR="006D4B22" w:rsidRPr="00607D84">
        <w:rPr>
          <w:rFonts w:ascii="Times New Roman" w:hAnsi="Times New Roman"/>
          <w:b w:val="0"/>
          <w:bCs/>
          <w:sz w:val="28"/>
          <w:szCs w:val="28"/>
          <w:lang w:val="pl-PL"/>
        </w:rPr>
        <w:t>MVA). Đường dây trung, hạ thế và chiếu sáng trong dự án sẽ được thiết kế chi tiết ở giai đoạn tiếp theo.</w:t>
      </w:r>
    </w:p>
    <w:p w14:paraId="55F6CBAC" w14:textId="7F75DD98" w:rsidR="006D4B22" w:rsidRPr="00607D84" w:rsidRDefault="001D5949" w:rsidP="00580CDA">
      <w:pPr>
        <w:widowControl w:val="0"/>
        <w:tabs>
          <w:tab w:val="left" w:pos="2977"/>
        </w:tabs>
        <w:spacing w:before="120"/>
        <w:ind w:firstLine="567"/>
        <w:jc w:val="both"/>
        <w:rPr>
          <w:rFonts w:ascii="Times New Roman" w:hAnsi="Times New Roman"/>
          <w:b w:val="0"/>
          <w:bCs/>
          <w:sz w:val="28"/>
          <w:szCs w:val="28"/>
          <w:lang w:val="pl-PL"/>
        </w:rPr>
      </w:pPr>
      <w:r w:rsidRPr="00607D84">
        <w:rPr>
          <w:rFonts w:ascii="Times New Roman" w:hAnsi="Times New Roman"/>
          <w:b w:val="0"/>
          <w:bCs/>
          <w:sz w:val="28"/>
          <w:szCs w:val="28"/>
          <w:lang w:val="pl-PL"/>
        </w:rPr>
        <w:t>+</w:t>
      </w:r>
      <w:r w:rsidR="00E7419F">
        <w:rPr>
          <w:rFonts w:ascii="Times New Roman" w:hAnsi="Times New Roman"/>
          <w:b w:val="0"/>
          <w:bCs/>
          <w:sz w:val="28"/>
          <w:szCs w:val="28"/>
          <w:lang w:val="pl-PL"/>
        </w:rPr>
        <w:t xml:space="preserve"> Chiếu sáng sân bãi: Đ</w:t>
      </w:r>
      <w:r w:rsidR="006D4B22" w:rsidRPr="00607D84">
        <w:rPr>
          <w:rFonts w:ascii="Times New Roman" w:hAnsi="Times New Roman"/>
          <w:b w:val="0"/>
          <w:bCs/>
          <w:sz w:val="28"/>
          <w:szCs w:val="28"/>
          <w:lang w:val="pl-PL"/>
        </w:rPr>
        <w:t>ược quy hoạch theo tiêu chuẩn sử dụng đèn tiết kiệm năng lượng, cáp điện bố trí ngầm.</w:t>
      </w:r>
    </w:p>
    <w:p w14:paraId="5DB64B9B" w14:textId="7D6B9137" w:rsidR="006D4B22" w:rsidRPr="00607D84" w:rsidRDefault="001D5949" w:rsidP="00580CDA">
      <w:pPr>
        <w:spacing w:before="120"/>
        <w:ind w:firstLine="567"/>
        <w:jc w:val="both"/>
        <w:rPr>
          <w:rFonts w:ascii="Times New Roman" w:hAnsi="Times New Roman"/>
          <w:b w:val="0"/>
          <w:sz w:val="28"/>
          <w:szCs w:val="28"/>
        </w:rPr>
      </w:pPr>
      <w:r w:rsidRPr="00607D84">
        <w:rPr>
          <w:rFonts w:ascii="Times New Roman" w:hAnsi="Times New Roman"/>
          <w:b w:val="0"/>
          <w:sz w:val="28"/>
          <w:szCs w:val="28"/>
          <w:lang w:val="pl-PL"/>
        </w:rPr>
        <w:lastRenderedPageBreak/>
        <w:t>-</w:t>
      </w:r>
      <w:r w:rsidR="006D4B22" w:rsidRPr="00607D84">
        <w:rPr>
          <w:rFonts w:ascii="Times New Roman" w:hAnsi="Times New Roman"/>
          <w:b w:val="0"/>
          <w:sz w:val="28"/>
          <w:szCs w:val="28"/>
          <w:lang w:val="pl-PL"/>
        </w:rPr>
        <w:t xml:space="preserve"> Phạm vi 03 tuyến đường giao thông:</w:t>
      </w:r>
      <w:r w:rsidRPr="00607D84">
        <w:rPr>
          <w:rFonts w:ascii="Times New Roman" w:hAnsi="Times New Roman"/>
          <w:b w:val="0"/>
          <w:sz w:val="28"/>
          <w:szCs w:val="28"/>
          <w:lang w:val="pl-PL"/>
        </w:rPr>
        <w:t xml:space="preserve"> </w:t>
      </w:r>
      <w:r w:rsidR="006D4B22" w:rsidRPr="00607D84">
        <w:rPr>
          <w:rFonts w:ascii="Times New Roman" w:hAnsi="Times New Roman"/>
          <w:b w:val="0"/>
          <w:sz w:val="28"/>
          <w:szCs w:val="28"/>
          <w:lang w:val="pl-PL"/>
        </w:rPr>
        <w:t>Hệ thống chiếu sáng trên 3 tuyến đường xung quanh dự án sẽ được đấu nối vào nguồn điện chiếu sáng trên tuyến đường Đặng Văn Trơn.</w:t>
      </w:r>
    </w:p>
    <w:p w14:paraId="357F54CC" w14:textId="2A0E6C95" w:rsidR="006D4B22" w:rsidRPr="00607D84" w:rsidRDefault="006D4B22" w:rsidP="00580CDA">
      <w:pPr>
        <w:spacing w:before="120"/>
        <w:ind w:firstLine="567"/>
        <w:jc w:val="both"/>
        <w:rPr>
          <w:rFonts w:ascii="Times New Roman" w:hAnsi="Times New Roman"/>
          <w:b w:val="0"/>
          <w:bCs/>
          <w:sz w:val="28"/>
          <w:szCs w:val="28"/>
        </w:rPr>
      </w:pPr>
      <w:r w:rsidRPr="00607D84">
        <w:rPr>
          <w:rFonts w:ascii="Times New Roman" w:hAnsi="Times New Roman"/>
          <w:b w:val="0"/>
          <w:bCs/>
          <w:sz w:val="28"/>
          <w:szCs w:val="28"/>
        </w:rPr>
        <w:t xml:space="preserve">g) Quy hoạch hệ thống thông tin </w:t>
      </w:r>
      <w:r w:rsidR="001D5949" w:rsidRPr="00607D84">
        <w:rPr>
          <w:rFonts w:ascii="Times New Roman" w:hAnsi="Times New Roman"/>
          <w:b w:val="0"/>
          <w:bCs/>
          <w:sz w:val="28"/>
          <w:szCs w:val="28"/>
        </w:rPr>
        <w:t>liên lạc</w:t>
      </w:r>
    </w:p>
    <w:p w14:paraId="70E4E7A1" w14:textId="77777777" w:rsidR="006D4B22" w:rsidRPr="00607D84" w:rsidRDefault="006D4B22" w:rsidP="00580CDA">
      <w:pPr>
        <w:widowControl w:val="0"/>
        <w:spacing w:before="120"/>
        <w:ind w:firstLine="567"/>
        <w:jc w:val="both"/>
        <w:rPr>
          <w:rFonts w:ascii="Times New Roman" w:hAnsi="Times New Roman"/>
          <w:b w:val="0"/>
          <w:bCs/>
          <w:sz w:val="28"/>
          <w:szCs w:val="28"/>
        </w:rPr>
      </w:pPr>
      <w:r w:rsidRPr="00607D84">
        <w:rPr>
          <w:rFonts w:ascii="Times New Roman" w:hAnsi="Times New Roman"/>
          <w:b w:val="0"/>
          <w:sz w:val="28"/>
          <w:szCs w:val="28"/>
        </w:rPr>
        <w:t>Mạng lưới hệ thống thông tin liên lạc đảm bảo cung cấp đầy đủ các dịch vụ viễn thông, đảm bảo nhu cầu sử dụng, đáp ứng theo tiêu chuẩn, quy chuẩn.</w:t>
      </w:r>
    </w:p>
    <w:p w14:paraId="1896FD4F" w14:textId="6A29F524" w:rsidR="006D4B22" w:rsidRPr="00607D84" w:rsidRDefault="001D5949" w:rsidP="00580CDA">
      <w:pPr>
        <w:widowControl w:val="0"/>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8. Thành phần hồ sơ đồ án</w:t>
      </w:r>
    </w:p>
    <w:p w14:paraId="73806FE0" w14:textId="14612268" w:rsidR="006D4B22" w:rsidRPr="00607D84" w:rsidRDefault="006D4B22" w:rsidP="00580CDA">
      <w:pPr>
        <w:widowControl w:val="0"/>
        <w:spacing w:before="120"/>
        <w:ind w:firstLine="567"/>
        <w:jc w:val="both"/>
        <w:rPr>
          <w:rFonts w:ascii="Times New Roman" w:hAnsi="Times New Roman"/>
          <w:b w:val="0"/>
          <w:sz w:val="28"/>
          <w:szCs w:val="28"/>
        </w:rPr>
      </w:pPr>
      <w:r w:rsidRPr="00607D84">
        <w:rPr>
          <w:rFonts w:ascii="Times New Roman" w:hAnsi="Times New Roman"/>
          <w:b w:val="0"/>
          <w:sz w:val="28"/>
          <w:szCs w:val="28"/>
          <w:lang w:val="nl-NL"/>
        </w:rPr>
        <w:t>Th</w:t>
      </w:r>
      <w:r w:rsidR="00F45F52">
        <w:rPr>
          <w:rFonts w:ascii="Times New Roman" w:hAnsi="Times New Roman"/>
          <w:b w:val="0"/>
          <w:sz w:val="28"/>
          <w:szCs w:val="28"/>
          <w:lang w:val="nl-NL"/>
        </w:rPr>
        <w:t>ực hiện theo quy định của Luật Q</w:t>
      </w:r>
      <w:r w:rsidRPr="00607D84">
        <w:rPr>
          <w:rFonts w:ascii="Times New Roman" w:hAnsi="Times New Roman"/>
          <w:b w:val="0"/>
          <w:sz w:val="28"/>
          <w:szCs w:val="28"/>
          <w:lang w:val="nl-NL"/>
        </w:rPr>
        <w:t xml:space="preserve">uy hoạch đô thị, </w:t>
      </w:r>
      <w:r w:rsidRPr="00607D84">
        <w:rPr>
          <w:rFonts w:ascii="Times New Roman" w:hAnsi="Times New Roman"/>
          <w:b w:val="0"/>
          <w:sz w:val="28"/>
          <w:szCs w:val="28"/>
        </w:rPr>
        <w:t>Nghị định số 37/2010/NĐ-CP, Nghị định số 72/2019/NĐ-CP, Thông tư số 04/2022/TT-BXD ngày 24 tháng 10 năm 2022 của Bộ tr</w:t>
      </w:r>
      <w:r w:rsidR="004273E9" w:rsidRPr="00607D84">
        <w:rPr>
          <w:rFonts w:ascii="Times New Roman" w:hAnsi="Times New Roman"/>
          <w:b w:val="0"/>
          <w:sz w:val="28"/>
          <w:szCs w:val="28"/>
        </w:rPr>
        <w:t xml:space="preserve">ưởng Bộ Xây dựng quy định về hồ </w:t>
      </w:r>
      <w:r w:rsidRPr="00607D84">
        <w:rPr>
          <w:rFonts w:ascii="Times New Roman" w:hAnsi="Times New Roman"/>
          <w:b w:val="0"/>
          <w:sz w:val="28"/>
          <w:szCs w:val="28"/>
        </w:rPr>
        <w:t>sơ nhiệm vụ và hồ sơ đồ án quy hoạch xây dựng vùng liên huyện, quy hoạch xây dựng vùng huyện, quy hoạch đô thị, quy hoạch xây dựng khu chức năng và quy hoạch nông thôn.</w:t>
      </w:r>
    </w:p>
    <w:p w14:paraId="2150DCB6" w14:textId="48AE2B53" w:rsidR="006D4B22" w:rsidRPr="00607D84" w:rsidRDefault="006D4B22" w:rsidP="00580CDA">
      <w:pPr>
        <w:widowControl w:val="0"/>
        <w:spacing w:before="120"/>
        <w:ind w:firstLine="567"/>
        <w:jc w:val="both"/>
        <w:rPr>
          <w:rFonts w:ascii="Times New Roman" w:hAnsi="Times New Roman"/>
          <w:b w:val="0"/>
          <w:sz w:val="28"/>
          <w:szCs w:val="28"/>
        </w:rPr>
      </w:pPr>
      <w:r w:rsidRPr="00607D84">
        <w:rPr>
          <w:rFonts w:ascii="Times New Roman" w:hAnsi="Times New Roman"/>
          <w:b w:val="0"/>
          <w:sz w:val="28"/>
          <w:szCs w:val="28"/>
        </w:rPr>
        <w:t>9. Danh mục c</w:t>
      </w:r>
      <w:r w:rsidR="001D5949" w:rsidRPr="00607D84">
        <w:rPr>
          <w:rFonts w:ascii="Times New Roman" w:hAnsi="Times New Roman"/>
          <w:b w:val="0"/>
          <w:sz w:val="28"/>
          <w:szCs w:val="28"/>
        </w:rPr>
        <w:t>ác hạng mục cần đầu tư xây dựng</w:t>
      </w:r>
    </w:p>
    <w:p w14:paraId="3630012B" w14:textId="78A36D9D" w:rsidR="006D4B22" w:rsidRPr="00607D84" w:rsidRDefault="006D4B22" w:rsidP="00580CDA">
      <w:pPr>
        <w:spacing w:before="120"/>
        <w:ind w:firstLine="567"/>
        <w:jc w:val="both"/>
        <w:rPr>
          <w:rFonts w:ascii="Times New Roman" w:hAnsi="Times New Roman"/>
          <w:b w:val="0"/>
          <w:sz w:val="28"/>
          <w:szCs w:val="28"/>
        </w:rPr>
      </w:pPr>
      <w:r w:rsidRPr="00607D84">
        <w:rPr>
          <w:rFonts w:ascii="Times New Roman" w:hAnsi="Times New Roman"/>
          <w:b w:val="0"/>
          <w:sz w:val="28"/>
          <w:szCs w:val="28"/>
        </w:rPr>
        <w:t>Tuân thủ theo chủ trương đầu tư được chấp thuận tại Quyết định số 1919/QĐ-UBND ngày 10</w:t>
      </w:r>
      <w:r w:rsidR="001D5949" w:rsidRPr="00607D84">
        <w:rPr>
          <w:rFonts w:ascii="Times New Roman" w:hAnsi="Times New Roman"/>
          <w:b w:val="0"/>
          <w:sz w:val="28"/>
          <w:szCs w:val="28"/>
        </w:rPr>
        <w:t xml:space="preserve"> tháng </w:t>
      </w:r>
      <w:r w:rsidRPr="00607D84">
        <w:rPr>
          <w:rFonts w:ascii="Times New Roman" w:hAnsi="Times New Roman"/>
          <w:b w:val="0"/>
          <w:sz w:val="28"/>
          <w:szCs w:val="28"/>
        </w:rPr>
        <w:t>8</w:t>
      </w:r>
      <w:r w:rsidR="001D5949" w:rsidRPr="00607D84">
        <w:rPr>
          <w:rFonts w:ascii="Times New Roman" w:hAnsi="Times New Roman"/>
          <w:b w:val="0"/>
          <w:sz w:val="28"/>
          <w:szCs w:val="28"/>
        </w:rPr>
        <w:t xml:space="preserve"> năm </w:t>
      </w:r>
      <w:r w:rsidRPr="00607D84">
        <w:rPr>
          <w:rFonts w:ascii="Times New Roman" w:hAnsi="Times New Roman"/>
          <w:b w:val="0"/>
          <w:sz w:val="28"/>
          <w:szCs w:val="28"/>
        </w:rPr>
        <w:t>2023 của</w:t>
      </w:r>
      <w:r w:rsidR="001D5949" w:rsidRPr="00607D84">
        <w:rPr>
          <w:rFonts w:ascii="Times New Roman" w:hAnsi="Times New Roman"/>
          <w:b w:val="0"/>
          <w:sz w:val="28"/>
          <w:szCs w:val="28"/>
        </w:rPr>
        <w:t xml:space="preserve"> Ủy ban nhân dân</w:t>
      </w:r>
      <w:r w:rsidRPr="00607D84">
        <w:rPr>
          <w:rFonts w:ascii="Times New Roman" w:hAnsi="Times New Roman"/>
          <w:b w:val="0"/>
          <w:sz w:val="28"/>
          <w:szCs w:val="28"/>
        </w:rPr>
        <w:t xml:space="preserve"> tỉnh.</w:t>
      </w:r>
    </w:p>
    <w:p w14:paraId="3C0D4705" w14:textId="14402C27" w:rsidR="00157F7F" w:rsidRPr="00607D84" w:rsidRDefault="006D4B22" w:rsidP="00580CDA">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rPr>
        <w:t xml:space="preserve">10. Quy định quản lý: Ban hành </w:t>
      </w:r>
      <w:r w:rsidR="004273E9" w:rsidRPr="00607D84">
        <w:rPr>
          <w:rFonts w:ascii="Times New Roman" w:hAnsi="Times New Roman"/>
          <w:b w:val="0"/>
          <w:sz w:val="28"/>
          <w:szCs w:val="28"/>
        </w:rPr>
        <w:t>q</w:t>
      </w:r>
      <w:r w:rsidRPr="00607D84">
        <w:rPr>
          <w:rFonts w:ascii="Times New Roman" w:hAnsi="Times New Roman"/>
          <w:b w:val="0"/>
          <w:sz w:val="28"/>
          <w:szCs w:val="28"/>
        </w:rPr>
        <w:t>uy định quản lý theo đồ án quy hoạch chi tiết đô thị tỷ lệ 1/500 Trung tâm thương mại tại phường Hiệp Hòa, thành phố Biên Hòa, tỉnh Đồng Nai.</w:t>
      </w:r>
    </w:p>
    <w:p w14:paraId="649400A4" w14:textId="55237026" w:rsidR="006D4B22" w:rsidRPr="00607D84" w:rsidRDefault="009E72C1" w:rsidP="00580CDA">
      <w:pPr>
        <w:spacing w:before="120"/>
        <w:ind w:firstLine="567"/>
        <w:jc w:val="both"/>
        <w:rPr>
          <w:rFonts w:ascii="Times New Roman" w:hAnsi="Times New Roman"/>
          <w:sz w:val="28"/>
          <w:szCs w:val="28"/>
        </w:rPr>
      </w:pPr>
      <w:r w:rsidRPr="00607D84">
        <w:rPr>
          <w:rFonts w:ascii="Times New Roman" w:hAnsi="Times New Roman"/>
          <w:sz w:val="28"/>
          <w:szCs w:val="28"/>
        </w:rPr>
        <w:t xml:space="preserve">Điều </w:t>
      </w:r>
      <w:r w:rsidR="00F825B3" w:rsidRPr="00607D84">
        <w:rPr>
          <w:rFonts w:ascii="Times New Roman" w:hAnsi="Times New Roman"/>
          <w:sz w:val="28"/>
          <w:szCs w:val="28"/>
        </w:rPr>
        <w:t>2</w:t>
      </w:r>
      <w:r w:rsidRPr="00607D84">
        <w:rPr>
          <w:rFonts w:ascii="Times New Roman" w:hAnsi="Times New Roman"/>
          <w:sz w:val="28"/>
          <w:szCs w:val="28"/>
        </w:rPr>
        <w:t xml:space="preserve">. </w:t>
      </w:r>
      <w:r w:rsidR="006D4B22" w:rsidRPr="00607D84">
        <w:rPr>
          <w:rFonts w:ascii="Times New Roman" w:hAnsi="Times New Roman"/>
          <w:sz w:val="28"/>
          <w:szCs w:val="28"/>
        </w:rPr>
        <w:t>Tổ chức thực hiện</w:t>
      </w:r>
    </w:p>
    <w:p w14:paraId="5B8539B6" w14:textId="77777777" w:rsidR="006D4B22" w:rsidRPr="00607D84" w:rsidRDefault="006D4B22" w:rsidP="00580CDA">
      <w:pPr>
        <w:spacing w:before="120"/>
        <w:ind w:firstLine="567"/>
        <w:jc w:val="both"/>
        <w:rPr>
          <w:rFonts w:ascii="Times New Roman" w:hAnsi="Times New Roman"/>
          <w:b w:val="0"/>
          <w:sz w:val="28"/>
          <w:szCs w:val="28"/>
          <w:shd w:val="clear" w:color="auto" w:fill="FFFFFF"/>
        </w:rPr>
      </w:pPr>
      <w:r w:rsidRPr="00607D84">
        <w:rPr>
          <w:rFonts w:ascii="Times New Roman" w:hAnsi="Times New Roman"/>
          <w:b w:val="0"/>
          <w:sz w:val="28"/>
          <w:szCs w:val="28"/>
          <w:shd w:val="clear" w:color="auto" w:fill="FFFFFF"/>
        </w:rPr>
        <w:t>Trên cơ sở đồ án quy hoạch chi tiết đô thị được phê duyệt, giao trách nhiệm các cơ quan liên quan như sau:</w:t>
      </w:r>
    </w:p>
    <w:p w14:paraId="2103D928" w14:textId="0F0E89C8" w:rsidR="006D4B22" w:rsidRPr="00607D84" w:rsidRDefault="006D4B22" w:rsidP="00580CDA">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shd w:val="clear" w:color="auto" w:fill="FFFFFF"/>
        </w:rPr>
        <w:t xml:space="preserve">1. </w:t>
      </w:r>
      <w:r w:rsidR="001D5949" w:rsidRPr="00607D84">
        <w:rPr>
          <w:rFonts w:ascii="Times New Roman" w:hAnsi="Times New Roman"/>
          <w:b w:val="0"/>
          <w:sz w:val="28"/>
          <w:szCs w:val="28"/>
          <w:lang w:val="nl-NL"/>
        </w:rPr>
        <w:t>Trách nhiệm của Nhà đầu tư</w:t>
      </w:r>
    </w:p>
    <w:p w14:paraId="2BAE856F" w14:textId="37BD506F" w:rsidR="006D4B22" w:rsidRPr="00607D84" w:rsidRDefault="001D5949" w:rsidP="00580CDA">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shd w:val="clear" w:color="auto" w:fill="FFFFFF"/>
        </w:rPr>
        <w:t>a)</w:t>
      </w:r>
      <w:r w:rsidR="006D4B22" w:rsidRPr="00607D84">
        <w:rPr>
          <w:rFonts w:ascii="Times New Roman" w:hAnsi="Times New Roman"/>
          <w:b w:val="0"/>
          <w:sz w:val="28"/>
          <w:szCs w:val="28"/>
          <w:shd w:val="clear" w:color="auto" w:fill="FFFFFF"/>
        </w:rPr>
        <w:t xml:space="preserve"> </w:t>
      </w:r>
      <w:r w:rsidR="004273E9" w:rsidRPr="00607D84">
        <w:rPr>
          <w:rFonts w:ascii="Times New Roman" w:hAnsi="Times New Roman"/>
          <w:b w:val="0"/>
          <w:sz w:val="28"/>
          <w:szCs w:val="28"/>
          <w:lang w:val="nl-NL"/>
        </w:rPr>
        <w:t>Liên hệ với Ủy ban nhân dân</w:t>
      </w:r>
      <w:r w:rsidR="006D4B22" w:rsidRPr="00607D84">
        <w:rPr>
          <w:rFonts w:ascii="Times New Roman" w:hAnsi="Times New Roman"/>
          <w:b w:val="0"/>
          <w:sz w:val="28"/>
          <w:szCs w:val="28"/>
          <w:lang w:val="nl-NL"/>
        </w:rPr>
        <w:t xml:space="preserve"> thành phố Biên Hòa để thực hiện công bố, công khai và cắm mốc giới đồ án quy hoạch theo quy định hiện hành sau khi đồ án quy hoạch được phê duyệt.</w:t>
      </w:r>
    </w:p>
    <w:p w14:paraId="6141CC1D" w14:textId="005D5A60" w:rsidR="006D4B22" w:rsidRPr="00607D84" w:rsidRDefault="001D5949" w:rsidP="00580CDA">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b)</w:t>
      </w:r>
      <w:r w:rsidR="006D4B22" w:rsidRPr="00607D84">
        <w:rPr>
          <w:rFonts w:ascii="Times New Roman" w:hAnsi="Times New Roman"/>
          <w:b w:val="0"/>
          <w:sz w:val="28"/>
          <w:szCs w:val="28"/>
          <w:lang w:val="nl-NL"/>
        </w:rPr>
        <w:t xml:space="preserve"> Thực hiện thi tuyển phương án kiến trúc theo quy định.</w:t>
      </w:r>
    </w:p>
    <w:p w14:paraId="344057BE" w14:textId="74C386FE" w:rsidR="006D4B22" w:rsidRPr="00607D84" w:rsidRDefault="001D5949" w:rsidP="00580CDA">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nl-NL"/>
        </w:rPr>
        <w:t>c)</w:t>
      </w:r>
      <w:r w:rsidR="006D4B22" w:rsidRPr="00607D84">
        <w:rPr>
          <w:rFonts w:ascii="Times New Roman" w:hAnsi="Times New Roman"/>
          <w:b w:val="0"/>
          <w:sz w:val="28"/>
          <w:szCs w:val="28"/>
          <w:lang w:val="nl-NL"/>
        </w:rPr>
        <w:t xml:space="preserve"> Thực hiện đầy đủ các thủ tục về đất đai, xây dựng, môi trường, phòng cháy chữa cháy,...; liên hệ với các cơ quan có thẩm quyền để được hướng dẫn, thỏa thuận đấu nối hệ thống hạ tầng kỹ thuật của dự án với hệ thống hiện hữu của khu vực.</w:t>
      </w:r>
    </w:p>
    <w:p w14:paraId="2372DA62" w14:textId="0C1EA1DB" w:rsidR="006D4B22" w:rsidRPr="00607D84" w:rsidRDefault="001D5949" w:rsidP="00580CDA">
      <w:pPr>
        <w:spacing w:before="120"/>
        <w:ind w:firstLine="567"/>
        <w:jc w:val="both"/>
        <w:rPr>
          <w:rFonts w:ascii="Times New Roman" w:hAnsi="Times New Roman"/>
          <w:b w:val="0"/>
          <w:sz w:val="28"/>
          <w:szCs w:val="28"/>
          <w:lang w:val="nl-NL"/>
        </w:rPr>
      </w:pPr>
      <w:r w:rsidRPr="00607D84">
        <w:rPr>
          <w:rFonts w:ascii="Times New Roman" w:hAnsi="Times New Roman"/>
          <w:b w:val="0"/>
          <w:sz w:val="28"/>
          <w:szCs w:val="28"/>
          <w:lang w:val="pl-PL"/>
        </w:rPr>
        <w:t>d)</w:t>
      </w:r>
      <w:r w:rsidR="006D4B22" w:rsidRPr="00607D84">
        <w:rPr>
          <w:rFonts w:ascii="Times New Roman" w:hAnsi="Times New Roman"/>
          <w:b w:val="0"/>
          <w:sz w:val="28"/>
          <w:szCs w:val="28"/>
          <w:lang w:val="pl-PL"/>
        </w:rPr>
        <w:t xml:space="preserve"> Thực hiện bàn giao 03 tuyến đường giao thông theo quy hoạch phân khu cho nhà nước quản lý theo chủ trương đầu tư được duyệt</w:t>
      </w:r>
      <w:r w:rsidR="004273E9" w:rsidRPr="00607D84">
        <w:rPr>
          <w:rFonts w:ascii="Times New Roman" w:hAnsi="Times New Roman"/>
          <w:b w:val="0"/>
          <w:sz w:val="28"/>
          <w:szCs w:val="28"/>
          <w:lang w:val="pl-PL"/>
        </w:rPr>
        <w:t>.</w:t>
      </w:r>
    </w:p>
    <w:p w14:paraId="45DD4817" w14:textId="192BFFF8" w:rsidR="006D4B22" w:rsidRPr="00607D84" w:rsidRDefault="006D4B22" w:rsidP="00580CDA">
      <w:pPr>
        <w:pStyle w:val="BodyText2"/>
        <w:widowControl w:val="0"/>
        <w:spacing w:before="120" w:after="0" w:line="240" w:lineRule="auto"/>
        <w:ind w:firstLine="567"/>
        <w:jc w:val="both"/>
        <w:rPr>
          <w:rFonts w:ascii="Times New Roman" w:hAnsi="Times New Roman"/>
          <w:b/>
          <w:sz w:val="28"/>
          <w:szCs w:val="28"/>
        </w:rPr>
      </w:pPr>
      <w:r w:rsidRPr="00607D84">
        <w:rPr>
          <w:rFonts w:ascii="Times New Roman" w:hAnsi="Times New Roman"/>
          <w:sz w:val="28"/>
          <w:szCs w:val="28"/>
          <w:lang w:val="nl-NL"/>
        </w:rPr>
        <w:t xml:space="preserve">2. Sở Xây dựng, </w:t>
      </w:r>
      <w:r w:rsidR="004273E9" w:rsidRPr="00607D84">
        <w:rPr>
          <w:rFonts w:ascii="Times New Roman" w:hAnsi="Times New Roman"/>
          <w:sz w:val="28"/>
          <w:szCs w:val="28"/>
          <w:lang w:val="nl-NL"/>
        </w:rPr>
        <w:t>Ủy ban nhân dân</w:t>
      </w:r>
      <w:r w:rsidR="00C1617A">
        <w:rPr>
          <w:rFonts w:ascii="Times New Roman" w:hAnsi="Times New Roman"/>
          <w:sz w:val="28"/>
          <w:szCs w:val="28"/>
          <w:lang w:val="nl-NL"/>
        </w:rPr>
        <w:t xml:space="preserve"> thành phố Biên Hòa và các s</w:t>
      </w:r>
      <w:r w:rsidRPr="00607D84">
        <w:rPr>
          <w:rFonts w:ascii="Times New Roman" w:hAnsi="Times New Roman"/>
          <w:sz w:val="28"/>
          <w:szCs w:val="28"/>
          <w:lang w:val="nl-NL"/>
        </w:rPr>
        <w:t xml:space="preserve">ở, ban, ngành liên quan thực hiện chức năng quản lý chuyên ngành, quản lý quy hoạch và quản lý xây dựng theo phân công, phân cấp của </w:t>
      </w:r>
      <w:r w:rsidR="004273E9" w:rsidRPr="00607D84">
        <w:rPr>
          <w:rFonts w:ascii="Times New Roman" w:hAnsi="Times New Roman"/>
          <w:sz w:val="28"/>
          <w:szCs w:val="28"/>
          <w:lang w:val="nl-NL"/>
        </w:rPr>
        <w:t>Ủy ban nhân dân</w:t>
      </w:r>
      <w:r w:rsidRPr="00607D84">
        <w:rPr>
          <w:rFonts w:ascii="Times New Roman" w:hAnsi="Times New Roman"/>
          <w:sz w:val="28"/>
          <w:szCs w:val="28"/>
          <w:lang w:val="nl-NL"/>
        </w:rPr>
        <w:t xml:space="preserve"> tỉnh và các quy định pháp luật hiện hành.</w:t>
      </w:r>
    </w:p>
    <w:p w14:paraId="5DAB88D2" w14:textId="2913A663" w:rsidR="00157F7F" w:rsidRPr="00607D84" w:rsidRDefault="006D4B22" w:rsidP="00580CDA">
      <w:pPr>
        <w:spacing w:before="120"/>
        <w:ind w:firstLine="567"/>
        <w:jc w:val="both"/>
        <w:rPr>
          <w:rFonts w:ascii="Times New Roman" w:hAnsi="Times New Roman"/>
          <w:b w:val="0"/>
          <w:sz w:val="28"/>
          <w:szCs w:val="28"/>
        </w:rPr>
      </w:pPr>
      <w:r w:rsidRPr="00607D84">
        <w:rPr>
          <w:rFonts w:ascii="Times New Roman" w:hAnsi="Times New Roman"/>
          <w:sz w:val="28"/>
          <w:szCs w:val="28"/>
        </w:rPr>
        <w:t>Điều 3.</w:t>
      </w:r>
      <w:r w:rsidRPr="00607D84">
        <w:rPr>
          <w:rFonts w:ascii="Times New Roman" w:hAnsi="Times New Roman"/>
          <w:b w:val="0"/>
          <w:sz w:val="28"/>
          <w:szCs w:val="28"/>
        </w:rPr>
        <w:t xml:space="preserve"> </w:t>
      </w:r>
      <w:r w:rsidR="009E72C1" w:rsidRPr="00607D84">
        <w:rPr>
          <w:rFonts w:ascii="Times New Roman" w:hAnsi="Times New Roman"/>
          <w:b w:val="0"/>
          <w:sz w:val="28"/>
          <w:szCs w:val="28"/>
        </w:rPr>
        <w:t>Quyết định này có hiệu lực thi hành kể từ ngày ký.</w:t>
      </w:r>
    </w:p>
    <w:p w14:paraId="7BAB88AD" w14:textId="0790B24B" w:rsidR="009E72C1" w:rsidRPr="00607D84" w:rsidRDefault="00F825B3" w:rsidP="00580CDA">
      <w:pPr>
        <w:spacing w:before="120"/>
        <w:ind w:firstLine="567"/>
        <w:jc w:val="both"/>
        <w:rPr>
          <w:rFonts w:ascii="Times New Roman" w:hAnsi="Times New Roman"/>
          <w:b w:val="0"/>
          <w:sz w:val="28"/>
          <w:szCs w:val="28"/>
          <w:lang w:val="nl-NL"/>
        </w:rPr>
      </w:pPr>
      <w:r w:rsidRPr="00607D84">
        <w:rPr>
          <w:rFonts w:ascii="Times New Roman" w:hAnsi="Times New Roman"/>
          <w:sz w:val="28"/>
          <w:szCs w:val="28"/>
        </w:rPr>
        <w:t xml:space="preserve">Điều </w:t>
      </w:r>
      <w:r w:rsidR="006D4B22" w:rsidRPr="00607D84">
        <w:rPr>
          <w:rFonts w:ascii="Times New Roman" w:hAnsi="Times New Roman"/>
          <w:sz w:val="28"/>
          <w:szCs w:val="28"/>
        </w:rPr>
        <w:t>4</w:t>
      </w:r>
      <w:r w:rsidR="009E72C1" w:rsidRPr="00607D84">
        <w:rPr>
          <w:rFonts w:ascii="Times New Roman" w:hAnsi="Times New Roman"/>
          <w:sz w:val="28"/>
          <w:szCs w:val="28"/>
        </w:rPr>
        <w:t xml:space="preserve">. </w:t>
      </w:r>
      <w:r w:rsidR="009E72C1" w:rsidRPr="00607D84">
        <w:rPr>
          <w:rFonts w:ascii="Times New Roman" w:hAnsi="Times New Roman"/>
          <w:b w:val="0"/>
          <w:sz w:val="28"/>
          <w:szCs w:val="28"/>
        </w:rPr>
        <w:t>Chánh Văn phòng Ủy ban nhân dân tỉnh, Giám đốc các Sở: Xây dựng, Kế hoạch và Đầu tư, Tài nguyên và Môi trường, Tài chính, Giao thông vận tải, Công Thương</w:t>
      </w:r>
      <w:r w:rsidRPr="00607D84">
        <w:rPr>
          <w:rFonts w:ascii="Times New Roman" w:hAnsi="Times New Roman"/>
          <w:b w:val="0"/>
          <w:sz w:val="28"/>
          <w:szCs w:val="28"/>
        </w:rPr>
        <w:t>, Thông tin và Truyền thông</w:t>
      </w:r>
      <w:r w:rsidR="009E72C1" w:rsidRPr="00607D84">
        <w:rPr>
          <w:rFonts w:ascii="Times New Roman" w:hAnsi="Times New Roman"/>
          <w:b w:val="0"/>
          <w:sz w:val="28"/>
          <w:szCs w:val="28"/>
        </w:rPr>
        <w:t xml:space="preserve">; </w:t>
      </w:r>
      <w:r w:rsidR="004273E9" w:rsidRPr="00607D84">
        <w:rPr>
          <w:rFonts w:ascii="Times New Roman" w:hAnsi="Times New Roman"/>
          <w:b w:val="0"/>
          <w:sz w:val="28"/>
          <w:szCs w:val="28"/>
        </w:rPr>
        <w:t xml:space="preserve">Giám đốc Công an tỉnh; Cục trưởng Cục Thuế; </w:t>
      </w:r>
      <w:r w:rsidR="009E72C1" w:rsidRPr="00607D84">
        <w:rPr>
          <w:rFonts w:ascii="Times New Roman" w:hAnsi="Times New Roman"/>
          <w:b w:val="0"/>
          <w:sz w:val="28"/>
          <w:szCs w:val="28"/>
        </w:rPr>
        <w:lastRenderedPageBreak/>
        <w:t xml:space="preserve">Chủ tịch Ủy ban nhân dân thành phố Biên Hòa; Chủ tịch </w:t>
      </w:r>
      <w:r w:rsidR="00D82F4A" w:rsidRPr="00607D84">
        <w:rPr>
          <w:rFonts w:ascii="Times New Roman" w:hAnsi="Times New Roman"/>
          <w:b w:val="0"/>
          <w:sz w:val="28"/>
          <w:szCs w:val="28"/>
        </w:rPr>
        <w:t>Ủy ban nhân dân</w:t>
      </w:r>
      <w:r w:rsidR="009E72C1" w:rsidRPr="00607D84">
        <w:rPr>
          <w:rFonts w:ascii="Times New Roman" w:hAnsi="Times New Roman"/>
          <w:b w:val="0"/>
          <w:sz w:val="28"/>
          <w:szCs w:val="28"/>
        </w:rPr>
        <w:t xml:space="preserve"> phường </w:t>
      </w:r>
      <w:r w:rsidR="007C0C93" w:rsidRPr="00607D84">
        <w:rPr>
          <w:rFonts w:ascii="Times New Roman" w:hAnsi="Times New Roman"/>
          <w:b w:val="0"/>
          <w:sz w:val="28"/>
          <w:szCs w:val="28"/>
        </w:rPr>
        <w:t>Hiệp Hòa</w:t>
      </w:r>
      <w:r w:rsidR="009E72C1" w:rsidRPr="00607D84">
        <w:rPr>
          <w:rFonts w:ascii="Times New Roman" w:hAnsi="Times New Roman"/>
          <w:b w:val="0"/>
          <w:sz w:val="28"/>
          <w:szCs w:val="28"/>
        </w:rPr>
        <w:t xml:space="preserve">; </w:t>
      </w:r>
      <w:r w:rsidRPr="00607D84">
        <w:rPr>
          <w:rFonts w:ascii="Times New Roman" w:hAnsi="Times New Roman"/>
          <w:b w:val="0"/>
          <w:sz w:val="28"/>
          <w:szCs w:val="28"/>
        </w:rPr>
        <w:t xml:space="preserve">Tổng Giám đốc Công ty Cổ phần Tập đoàn Việt Phát; </w:t>
      </w:r>
      <w:r w:rsidR="009E72C1" w:rsidRPr="00607D84">
        <w:rPr>
          <w:rFonts w:ascii="Times New Roman" w:hAnsi="Times New Roman"/>
          <w:b w:val="0"/>
          <w:sz w:val="28"/>
          <w:szCs w:val="28"/>
        </w:rPr>
        <w:t>Thủ trưởng các đơn vị và các cá nhân có liên quan chịu trách nhiệm thi hành Quyết định này./.</w:t>
      </w:r>
    </w:p>
    <w:p w14:paraId="17634291" w14:textId="77777777" w:rsidR="00D35C99" w:rsidRPr="00607D84" w:rsidRDefault="00D35C99" w:rsidP="00B26793">
      <w:pPr>
        <w:widowControl w:val="0"/>
        <w:spacing w:before="120"/>
        <w:ind w:firstLine="567"/>
        <w:jc w:val="both"/>
        <w:rPr>
          <w:rFonts w:ascii="Times New Roman" w:hAnsi="Times New Roman"/>
          <w:b w:val="0"/>
          <w:sz w:val="28"/>
          <w:szCs w:val="28"/>
          <w:lang w:val="nl-NL"/>
        </w:rPr>
      </w:pPr>
    </w:p>
    <w:tbl>
      <w:tblPr>
        <w:tblW w:w="9781" w:type="dxa"/>
        <w:tblInd w:w="108" w:type="dxa"/>
        <w:tblLook w:val="01E0" w:firstRow="1" w:lastRow="1" w:firstColumn="1" w:lastColumn="1" w:noHBand="0" w:noVBand="0"/>
      </w:tblPr>
      <w:tblGrid>
        <w:gridCol w:w="4820"/>
        <w:gridCol w:w="4961"/>
      </w:tblGrid>
      <w:tr w:rsidR="00DC6127" w:rsidRPr="00607D84" w14:paraId="158990F7" w14:textId="77777777" w:rsidTr="00DC6127">
        <w:trPr>
          <w:trHeight w:val="1262"/>
        </w:trPr>
        <w:tc>
          <w:tcPr>
            <w:tcW w:w="4820" w:type="dxa"/>
            <w:shd w:val="clear" w:color="auto" w:fill="auto"/>
          </w:tcPr>
          <w:p w14:paraId="758D79C5" w14:textId="5E80FBBE" w:rsidR="006E11DB" w:rsidRPr="00607D84" w:rsidRDefault="006E11DB" w:rsidP="006D7CC9">
            <w:pPr>
              <w:ind w:left="-108"/>
              <w:rPr>
                <w:rFonts w:ascii="Times New Roman" w:hAnsi="Times New Roman"/>
                <w:sz w:val="28"/>
                <w:szCs w:val="28"/>
              </w:rPr>
            </w:pPr>
          </w:p>
        </w:tc>
        <w:tc>
          <w:tcPr>
            <w:tcW w:w="4961" w:type="dxa"/>
            <w:shd w:val="clear" w:color="auto" w:fill="auto"/>
          </w:tcPr>
          <w:p w14:paraId="4F857A52" w14:textId="77777777" w:rsidR="006E11DB" w:rsidRPr="00607D84" w:rsidRDefault="006E11DB" w:rsidP="00B728CE">
            <w:pPr>
              <w:jc w:val="center"/>
              <w:rPr>
                <w:rFonts w:ascii="Times New Roman" w:hAnsi="Times New Roman"/>
                <w:sz w:val="28"/>
                <w:szCs w:val="28"/>
              </w:rPr>
            </w:pPr>
            <w:r w:rsidRPr="00607D84">
              <w:rPr>
                <w:rFonts w:ascii="Times New Roman" w:hAnsi="Times New Roman"/>
                <w:sz w:val="28"/>
                <w:szCs w:val="28"/>
              </w:rPr>
              <w:t>TM. ỦY BAN NHÂN DÂN</w:t>
            </w:r>
          </w:p>
          <w:p w14:paraId="38B9DFD6" w14:textId="4A472995" w:rsidR="0097225F" w:rsidRDefault="006E11DB" w:rsidP="00B728CE">
            <w:pPr>
              <w:jc w:val="center"/>
              <w:rPr>
                <w:rFonts w:ascii="Times New Roman" w:hAnsi="Times New Roman"/>
                <w:sz w:val="28"/>
                <w:szCs w:val="28"/>
              </w:rPr>
            </w:pPr>
            <w:r w:rsidRPr="00607D84">
              <w:rPr>
                <w:rFonts w:ascii="Times New Roman" w:hAnsi="Times New Roman"/>
                <w:sz w:val="28"/>
                <w:szCs w:val="28"/>
              </w:rPr>
              <w:t>CHỦ TỊCH</w:t>
            </w:r>
          </w:p>
          <w:p w14:paraId="2713033C" w14:textId="77777777" w:rsidR="00DC6127" w:rsidRPr="00607D84" w:rsidRDefault="00DC6127" w:rsidP="00B728CE">
            <w:pPr>
              <w:jc w:val="center"/>
              <w:rPr>
                <w:rFonts w:ascii="Times New Roman" w:hAnsi="Times New Roman"/>
                <w:sz w:val="28"/>
                <w:szCs w:val="28"/>
              </w:rPr>
            </w:pPr>
          </w:p>
          <w:p w14:paraId="0DE49735" w14:textId="5E9ECC27" w:rsidR="006E11DB" w:rsidRPr="00607D84" w:rsidRDefault="00D87554" w:rsidP="00036E9A">
            <w:pPr>
              <w:jc w:val="center"/>
              <w:rPr>
                <w:rFonts w:ascii="Times New Roman" w:hAnsi="Times New Roman"/>
                <w:b w:val="0"/>
                <w:sz w:val="28"/>
                <w:szCs w:val="28"/>
              </w:rPr>
            </w:pPr>
            <w:r w:rsidRPr="00607D84">
              <w:rPr>
                <w:rFonts w:ascii="Times New Roman" w:hAnsi="Times New Roman"/>
                <w:sz w:val="28"/>
                <w:szCs w:val="28"/>
              </w:rPr>
              <w:t>Võ Tấn Đức</w:t>
            </w:r>
          </w:p>
        </w:tc>
      </w:tr>
    </w:tbl>
    <w:p w14:paraId="598B1CDC" w14:textId="69B14A50" w:rsidR="006E11DB" w:rsidRPr="00607D84" w:rsidRDefault="006E11DB" w:rsidP="006D7CC9">
      <w:pPr>
        <w:jc w:val="both"/>
        <w:rPr>
          <w:rFonts w:ascii="Times New Roman" w:hAnsi="Times New Roman"/>
          <w:sz w:val="28"/>
          <w:szCs w:val="28"/>
        </w:rPr>
      </w:pPr>
    </w:p>
    <w:sectPr w:rsidR="006E11DB" w:rsidRPr="00607D84" w:rsidSect="00607D84">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FF29A" w14:textId="77777777" w:rsidR="006516FF" w:rsidRDefault="006516FF">
      <w:r>
        <w:separator/>
      </w:r>
    </w:p>
  </w:endnote>
  <w:endnote w:type="continuationSeparator" w:id="0">
    <w:p w14:paraId="00E8DE3F" w14:textId="77777777" w:rsidR="006516FF" w:rsidRDefault="0065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D372EF" w:rsidRDefault="00D372EF"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D372EF" w:rsidRDefault="00D372EF"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D372EF" w:rsidRPr="005A2B15" w:rsidRDefault="00D372EF"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7E368" w14:textId="77777777" w:rsidR="006516FF" w:rsidRDefault="006516FF">
      <w:r>
        <w:separator/>
      </w:r>
    </w:p>
  </w:footnote>
  <w:footnote w:type="continuationSeparator" w:id="0">
    <w:p w14:paraId="3247B614" w14:textId="77777777" w:rsidR="006516FF" w:rsidRDefault="00651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2BB706BB" w:rsidR="00D372EF" w:rsidRPr="00607D84" w:rsidRDefault="00D372EF" w:rsidP="00607D84">
    <w:pPr>
      <w:pStyle w:val="Header"/>
      <w:rPr>
        <w:rFonts w:ascii="Times New Roman" w:hAnsi="Times New Roman"/>
        <w:sz w:val="28"/>
        <w:szCs w:val="28"/>
      </w:rPr>
    </w:pPr>
  </w:p>
  <w:p w14:paraId="2789EFBA" w14:textId="77777777" w:rsidR="00607D84" w:rsidRPr="00607D84" w:rsidRDefault="00607D84" w:rsidP="00607D84">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1574D"/>
    <w:rsid w:val="000259B9"/>
    <w:rsid w:val="00026196"/>
    <w:rsid w:val="00027694"/>
    <w:rsid w:val="000361EB"/>
    <w:rsid w:val="00036E9A"/>
    <w:rsid w:val="00041D9E"/>
    <w:rsid w:val="00041DBB"/>
    <w:rsid w:val="00045F3E"/>
    <w:rsid w:val="00046F1A"/>
    <w:rsid w:val="000519A1"/>
    <w:rsid w:val="00052B62"/>
    <w:rsid w:val="0005427F"/>
    <w:rsid w:val="00064361"/>
    <w:rsid w:val="0007315C"/>
    <w:rsid w:val="0007464E"/>
    <w:rsid w:val="00074AAA"/>
    <w:rsid w:val="0007736B"/>
    <w:rsid w:val="00082923"/>
    <w:rsid w:val="00090D29"/>
    <w:rsid w:val="00091830"/>
    <w:rsid w:val="00096AC0"/>
    <w:rsid w:val="00097795"/>
    <w:rsid w:val="00097A38"/>
    <w:rsid w:val="000A0AEF"/>
    <w:rsid w:val="000A391C"/>
    <w:rsid w:val="000A3ABE"/>
    <w:rsid w:val="000A3D16"/>
    <w:rsid w:val="000A6487"/>
    <w:rsid w:val="000A7CF4"/>
    <w:rsid w:val="000B2A79"/>
    <w:rsid w:val="000B369F"/>
    <w:rsid w:val="000C0EB9"/>
    <w:rsid w:val="000C689B"/>
    <w:rsid w:val="000D2855"/>
    <w:rsid w:val="000D51D2"/>
    <w:rsid w:val="000E2E24"/>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1CB2"/>
    <w:rsid w:val="001447CE"/>
    <w:rsid w:val="00147130"/>
    <w:rsid w:val="00152538"/>
    <w:rsid w:val="00157504"/>
    <w:rsid w:val="00157F7F"/>
    <w:rsid w:val="00165A91"/>
    <w:rsid w:val="00166143"/>
    <w:rsid w:val="001662E8"/>
    <w:rsid w:val="00170FE4"/>
    <w:rsid w:val="00182968"/>
    <w:rsid w:val="0018463C"/>
    <w:rsid w:val="00186287"/>
    <w:rsid w:val="00187D77"/>
    <w:rsid w:val="00192094"/>
    <w:rsid w:val="00192C8E"/>
    <w:rsid w:val="001A35BE"/>
    <w:rsid w:val="001A77F0"/>
    <w:rsid w:val="001B1BC6"/>
    <w:rsid w:val="001D226C"/>
    <w:rsid w:val="001D5949"/>
    <w:rsid w:val="001E0278"/>
    <w:rsid w:val="001E3110"/>
    <w:rsid w:val="001E51E5"/>
    <w:rsid w:val="001F1664"/>
    <w:rsid w:val="001F2E14"/>
    <w:rsid w:val="001F4965"/>
    <w:rsid w:val="0020030A"/>
    <w:rsid w:val="00200DF9"/>
    <w:rsid w:val="0022043E"/>
    <w:rsid w:val="0022335C"/>
    <w:rsid w:val="00225EA2"/>
    <w:rsid w:val="0023535E"/>
    <w:rsid w:val="002365DB"/>
    <w:rsid w:val="00242949"/>
    <w:rsid w:val="0025657B"/>
    <w:rsid w:val="00256BA7"/>
    <w:rsid w:val="00261E7E"/>
    <w:rsid w:val="00263DE2"/>
    <w:rsid w:val="0026476A"/>
    <w:rsid w:val="0027363A"/>
    <w:rsid w:val="00273FB1"/>
    <w:rsid w:val="00276257"/>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D7FF2"/>
    <w:rsid w:val="002E0AF9"/>
    <w:rsid w:val="002E6D28"/>
    <w:rsid w:val="002F3912"/>
    <w:rsid w:val="002F684F"/>
    <w:rsid w:val="002F69DF"/>
    <w:rsid w:val="00302F29"/>
    <w:rsid w:val="00305070"/>
    <w:rsid w:val="00314AC4"/>
    <w:rsid w:val="003179B1"/>
    <w:rsid w:val="00320FE4"/>
    <w:rsid w:val="00330799"/>
    <w:rsid w:val="00331493"/>
    <w:rsid w:val="00333597"/>
    <w:rsid w:val="0033472B"/>
    <w:rsid w:val="00334C2F"/>
    <w:rsid w:val="00335677"/>
    <w:rsid w:val="00336466"/>
    <w:rsid w:val="00341837"/>
    <w:rsid w:val="00342401"/>
    <w:rsid w:val="00342E38"/>
    <w:rsid w:val="00343527"/>
    <w:rsid w:val="00345735"/>
    <w:rsid w:val="00351DDE"/>
    <w:rsid w:val="00352F07"/>
    <w:rsid w:val="00353288"/>
    <w:rsid w:val="00357A03"/>
    <w:rsid w:val="003651FB"/>
    <w:rsid w:val="003654B0"/>
    <w:rsid w:val="0036588C"/>
    <w:rsid w:val="0037270F"/>
    <w:rsid w:val="00377044"/>
    <w:rsid w:val="003812F1"/>
    <w:rsid w:val="0038371B"/>
    <w:rsid w:val="0039040F"/>
    <w:rsid w:val="003911F5"/>
    <w:rsid w:val="00395392"/>
    <w:rsid w:val="00397D06"/>
    <w:rsid w:val="003A2331"/>
    <w:rsid w:val="003A343B"/>
    <w:rsid w:val="003B34C6"/>
    <w:rsid w:val="003B71CA"/>
    <w:rsid w:val="003C14B8"/>
    <w:rsid w:val="003C18E8"/>
    <w:rsid w:val="003C2C71"/>
    <w:rsid w:val="003C3CA3"/>
    <w:rsid w:val="003C7879"/>
    <w:rsid w:val="003D1692"/>
    <w:rsid w:val="003D2FBD"/>
    <w:rsid w:val="003E4400"/>
    <w:rsid w:val="003E4774"/>
    <w:rsid w:val="003E592D"/>
    <w:rsid w:val="003F7839"/>
    <w:rsid w:val="004020C3"/>
    <w:rsid w:val="00413F90"/>
    <w:rsid w:val="0042006E"/>
    <w:rsid w:val="004261CE"/>
    <w:rsid w:val="00426D96"/>
    <w:rsid w:val="004273E9"/>
    <w:rsid w:val="00432C55"/>
    <w:rsid w:val="004407B7"/>
    <w:rsid w:val="00441793"/>
    <w:rsid w:val="004503C9"/>
    <w:rsid w:val="0045162A"/>
    <w:rsid w:val="004539C0"/>
    <w:rsid w:val="0045654C"/>
    <w:rsid w:val="00456A54"/>
    <w:rsid w:val="0046623C"/>
    <w:rsid w:val="00467F2B"/>
    <w:rsid w:val="0047158D"/>
    <w:rsid w:val="00476828"/>
    <w:rsid w:val="004770C5"/>
    <w:rsid w:val="004820D0"/>
    <w:rsid w:val="00482369"/>
    <w:rsid w:val="00484B0B"/>
    <w:rsid w:val="004932AA"/>
    <w:rsid w:val="004A0482"/>
    <w:rsid w:val="004A11BA"/>
    <w:rsid w:val="004B162B"/>
    <w:rsid w:val="004B1FC5"/>
    <w:rsid w:val="004C0310"/>
    <w:rsid w:val="004C1BEE"/>
    <w:rsid w:val="004E043D"/>
    <w:rsid w:val="004E2EB9"/>
    <w:rsid w:val="004F2103"/>
    <w:rsid w:val="004F3609"/>
    <w:rsid w:val="004F46F2"/>
    <w:rsid w:val="00503CD5"/>
    <w:rsid w:val="00516686"/>
    <w:rsid w:val="005222DA"/>
    <w:rsid w:val="00531DE4"/>
    <w:rsid w:val="0053787C"/>
    <w:rsid w:val="005411A0"/>
    <w:rsid w:val="00541D84"/>
    <w:rsid w:val="005443CD"/>
    <w:rsid w:val="005450DB"/>
    <w:rsid w:val="00546D22"/>
    <w:rsid w:val="00547DB7"/>
    <w:rsid w:val="0055017B"/>
    <w:rsid w:val="00557F9A"/>
    <w:rsid w:val="005736DA"/>
    <w:rsid w:val="00580813"/>
    <w:rsid w:val="00580B80"/>
    <w:rsid w:val="00580CDA"/>
    <w:rsid w:val="00584578"/>
    <w:rsid w:val="0058566A"/>
    <w:rsid w:val="00587089"/>
    <w:rsid w:val="00590AC8"/>
    <w:rsid w:val="00591D08"/>
    <w:rsid w:val="00592E7B"/>
    <w:rsid w:val="005934E7"/>
    <w:rsid w:val="00595C6F"/>
    <w:rsid w:val="005A54F1"/>
    <w:rsid w:val="005B4C8B"/>
    <w:rsid w:val="005B5DC9"/>
    <w:rsid w:val="005B5E3E"/>
    <w:rsid w:val="005B74D5"/>
    <w:rsid w:val="005C0F75"/>
    <w:rsid w:val="005C6E21"/>
    <w:rsid w:val="005D56DF"/>
    <w:rsid w:val="005D6F84"/>
    <w:rsid w:val="005F0783"/>
    <w:rsid w:val="005F3FA7"/>
    <w:rsid w:val="005F45F6"/>
    <w:rsid w:val="005F5B51"/>
    <w:rsid w:val="005F613F"/>
    <w:rsid w:val="00601BA2"/>
    <w:rsid w:val="00603180"/>
    <w:rsid w:val="00607D84"/>
    <w:rsid w:val="00610F19"/>
    <w:rsid w:val="006167FF"/>
    <w:rsid w:val="006174F9"/>
    <w:rsid w:val="006249E4"/>
    <w:rsid w:val="00625477"/>
    <w:rsid w:val="00626CBE"/>
    <w:rsid w:val="006308DD"/>
    <w:rsid w:val="006312C5"/>
    <w:rsid w:val="0063469E"/>
    <w:rsid w:val="006347E7"/>
    <w:rsid w:val="00637196"/>
    <w:rsid w:val="00637D41"/>
    <w:rsid w:val="006419DB"/>
    <w:rsid w:val="00642F0D"/>
    <w:rsid w:val="00646776"/>
    <w:rsid w:val="00647EA2"/>
    <w:rsid w:val="006516FF"/>
    <w:rsid w:val="00652438"/>
    <w:rsid w:val="00654E27"/>
    <w:rsid w:val="00657709"/>
    <w:rsid w:val="00657CDA"/>
    <w:rsid w:val="00665CA9"/>
    <w:rsid w:val="00667F92"/>
    <w:rsid w:val="006751AB"/>
    <w:rsid w:val="00683748"/>
    <w:rsid w:val="0068601C"/>
    <w:rsid w:val="00686FEA"/>
    <w:rsid w:val="00687A04"/>
    <w:rsid w:val="00694A40"/>
    <w:rsid w:val="006A65B5"/>
    <w:rsid w:val="006A7CCB"/>
    <w:rsid w:val="006B1E34"/>
    <w:rsid w:val="006C63A6"/>
    <w:rsid w:val="006D15EB"/>
    <w:rsid w:val="006D4B22"/>
    <w:rsid w:val="006D714C"/>
    <w:rsid w:val="006D7CC9"/>
    <w:rsid w:val="006E101D"/>
    <w:rsid w:val="006E11DB"/>
    <w:rsid w:val="006F3E37"/>
    <w:rsid w:val="006F7882"/>
    <w:rsid w:val="007003FF"/>
    <w:rsid w:val="007028C1"/>
    <w:rsid w:val="00710F85"/>
    <w:rsid w:val="007143F6"/>
    <w:rsid w:val="00714484"/>
    <w:rsid w:val="0072156E"/>
    <w:rsid w:val="0072224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B734A"/>
    <w:rsid w:val="007C0C93"/>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4969"/>
    <w:rsid w:val="00834BD8"/>
    <w:rsid w:val="008357A2"/>
    <w:rsid w:val="008409DE"/>
    <w:rsid w:val="00844624"/>
    <w:rsid w:val="00854D94"/>
    <w:rsid w:val="00862334"/>
    <w:rsid w:val="00864BF8"/>
    <w:rsid w:val="00867B2F"/>
    <w:rsid w:val="00870D55"/>
    <w:rsid w:val="00887C0E"/>
    <w:rsid w:val="008928C5"/>
    <w:rsid w:val="008933C8"/>
    <w:rsid w:val="008A062A"/>
    <w:rsid w:val="008A2384"/>
    <w:rsid w:val="008A3854"/>
    <w:rsid w:val="008A59BF"/>
    <w:rsid w:val="008A704E"/>
    <w:rsid w:val="008A7560"/>
    <w:rsid w:val="008B299A"/>
    <w:rsid w:val="008B6AF8"/>
    <w:rsid w:val="008B7D85"/>
    <w:rsid w:val="008C5263"/>
    <w:rsid w:val="008C60BC"/>
    <w:rsid w:val="008D39E3"/>
    <w:rsid w:val="008D558F"/>
    <w:rsid w:val="008E027A"/>
    <w:rsid w:val="008E027F"/>
    <w:rsid w:val="008E1703"/>
    <w:rsid w:val="008E27A4"/>
    <w:rsid w:val="008E7671"/>
    <w:rsid w:val="008E7DB0"/>
    <w:rsid w:val="008F4A94"/>
    <w:rsid w:val="00900571"/>
    <w:rsid w:val="00902780"/>
    <w:rsid w:val="00903FEA"/>
    <w:rsid w:val="00905146"/>
    <w:rsid w:val="00905174"/>
    <w:rsid w:val="00907F6A"/>
    <w:rsid w:val="0091228A"/>
    <w:rsid w:val="009131AC"/>
    <w:rsid w:val="0091510D"/>
    <w:rsid w:val="00922A9D"/>
    <w:rsid w:val="00922B56"/>
    <w:rsid w:val="009239E3"/>
    <w:rsid w:val="009359D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62085"/>
    <w:rsid w:val="009720FF"/>
    <w:rsid w:val="0097225F"/>
    <w:rsid w:val="009743FD"/>
    <w:rsid w:val="0097490E"/>
    <w:rsid w:val="0097521B"/>
    <w:rsid w:val="00981452"/>
    <w:rsid w:val="00983C31"/>
    <w:rsid w:val="00993AE8"/>
    <w:rsid w:val="00994881"/>
    <w:rsid w:val="009A48E2"/>
    <w:rsid w:val="009A5C6A"/>
    <w:rsid w:val="009A5FF7"/>
    <w:rsid w:val="009A6F66"/>
    <w:rsid w:val="009B6F96"/>
    <w:rsid w:val="009C754A"/>
    <w:rsid w:val="009D0246"/>
    <w:rsid w:val="009E3D3F"/>
    <w:rsid w:val="009E480D"/>
    <w:rsid w:val="009E72C1"/>
    <w:rsid w:val="009F02CF"/>
    <w:rsid w:val="009F2481"/>
    <w:rsid w:val="009F3968"/>
    <w:rsid w:val="009F6DFE"/>
    <w:rsid w:val="009F7D91"/>
    <w:rsid w:val="00A063EF"/>
    <w:rsid w:val="00A100A1"/>
    <w:rsid w:val="00A11DAC"/>
    <w:rsid w:val="00A155D3"/>
    <w:rsid w:val="00A228BC"/>
    <w:rsid w:val="00A228E1"/>
    <w:rsid w:val="00A30766"/>
    <w:rsid w:val="00A40D2F"/>
    <w:rsid w:val="00A44869"/>
    <w:rsid w:val="00A479C7"/>
    <w:rsid w:val="00A52202"/>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4E3E"/>
    <w:rsid w:val="00AC638D"/>
    <w:rsid w:val="00AC78FC"/>
    <w:rsid w:val="00AD20D8"/>
    <w:rsid w:val="00AD356E"/>
    <w:rsid w:val="00AD3D77"/>
    <w:rsid w:val="00AD42A4"/>
    <w:rsid w:val="00AE17DA"/>
    <w:rsid w:val="00AE256C"/>
    <w:rsid w:val="00AE4934"/>
    <w:rsid w:val="00AE55FC"/>
    <w:rsid w:val="00AE6327"/>
    <w:rsid w:val="00AF228D"/>
    <w:rsid w:val="00AF56BF"/>
    <w:rsid w:val="00AF5ADD"/>
    <w:rsid w:val="00B043DF"/>
    <w:rsid w:val="00B116BF"/>
    <w:rsid w:val="00B11EAC"/>
    <w:rsid w:val="00B21FE7"/>
    <w:rsid w:val="00B264E2"/>
    <w:rsid w:val="00B26793"/>
    <w:rsid w:val="00B26955"/>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163C"/>
    <w:rsid w:val="00B94EE9"/>
    <w:rsid w:val="00B95242"/>
    <w:rsid w:val="00BA0222"/>
    <w:rsid w:val="00BA1B44"/>
    <w:rsid w:val="00BA29EB"/>
    <w:rsid w:val="00BA735C"/>
    <w:rsid w:val="00BB235E"/>
    <w:rsid w:val="00BB2943"/>
    <w:rsid w:val="00BB502D"/>
    <w:rsid w:val="00BC4D2E"/>
    <w:rsid w:val="00BD3A4D"/>
    <w:rsid w:val="00BD4869"/>
    <w:rsid w:val="00BD76E2"/>
    <w:rsid w:val="00BE20D2"/>
    <w:rsid w:val="00BE6B2D"/>
    <w:rsid w:val="00BF762B"/>
    <w:rsid w:val="00C01FA0"/>
    <w:rsid w:val="00C03E78"/>
    <w:rsid w:val="00C04B70"/>
    <w:rsid w:val="00C06B74"/>
    <w:rsid w:val="00C07F9E"/>
    <w:rsid w:val="00C1617A"/>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0303"/>
    <w:rsid w:val="00C7328C"/>
    <w:rsid w:val="00C770C1"/>
    <w:rsid w:val="00C770EC"/>
    <w:rsid w:val="00C776E7"/>
    <w:rsid w:val="00C8155F"/>
    <w:rsid w:val="00C90146"/>
    <w:rsid w:val="00C94AB2"/>
    <w:rsid w:val="00C95278"/>
    <w:rsid w:val="00C95D99"/>
    <w:rsid w:val="00CA22F7"/>
    <w:rsid w:val="00CA2339"/>
    <w:rsid w:val="00CA2B1E"/>
    <w:rsid w:val="00CB0FB3"/>
    <w:rsid w:val="00CB183D"/>
    <w:rsid w:val="00CB400D"/>
    <w:rsid w:val="00CB58CA"/>
    <w:rsid w:val="00CB6427"/>
    <w:rsid w:val="00CB6EE4"/>
    <w:rsid w:val="00CC069E"/>
    <w:rsid w:val="00CC2854"/>
    <w:rsid w:val="00CC4DB5"/>
    <w:rsid w:val="00CD556C"/>
    <w:rsid w:val="00CD59E7"/>
    <w:rsid w:val="00CE1C99"/>
    <w:rsid w:val="00CE6B1E"/>
    <w:rsid w:val="00CF026F"/>
    <w:rsid w:val="00CF03CC"/>
    <w:rsid w:val="00CF2080"/>
    <w:rsid w:val="00D000C0"/>
    <w:rsid w:val="00D01531"/>
    <w:rsid w:val="00D0261D"/>
    <w:rsid w:val="00D13296"/>
    <w:rsid w:val="00D17482"/>
    <w:rsid w:val="00D26587"/>
    <w:rsid w:val="00D33141"/>
    <w:rsid w:val="00D355DA"/>
    <w:rsid w:val="00D35C99"/>
    <w:rsid w:val="00D36589"/>
    <w:rsid w:val="00D372EF"/>
    <w:rsid w:val="00D40011"/>
    <w:rsid w:val="00D409F2"/>
    <w:rsid w:val="00D4153B"/>
    <w:rsid w:val="00D419C7"/>
    <w:rsid w:val="00D521AD"/>
    <w:rsid w:val="00D52AC4"/>
    <w:rsid w:val="00D53BC8"/>
    <w:rsid w:val="00D55FB2"/>
    <w:rsid w:val="00D56C4E"/>
    <w:rsid w:val="00D57420"/>
    <w:rsid w:val="00D60485"/>
    <w:rsid w:val="00D6068F"/>
    <w:rsid w:val="00D72250"/>
    <w:rsid w:val="00D77016"/>
    <w:rsid w:val="00D805CD"/>
    <w:rsid w:val="00D82E7F"/>
    <w:rsid w:val="00D82F4A"/>
    <w:rsid w:val="00D87554"/>
    <w:rsid w:val="00D9068C"/>
    <w:rsid w:val="00D964A3"/>
    <w:rsid w:val="00D96A4E"/>
    <w:rsid w:val="00DA567A"/>
    <w:rsid w:val="00DB3E88"/>
    <w:rsid w:val="00DB5959"/>
    <w:rsid w:val="00DC00EE"/>
    <w:rsid w:val="00DC0BA9"/>
    <w:rsid w:val="00DC3C80"/>
    <w:rsid w:val="00DC5A7F"/>
    <w:rsid w:val="00DC6127"/>
    <w:rsid w:val="00DD2EF8"/>
    <w:rsid w:val="00DD41AA"/>
    <w:rsid w:val="00DD6F33"/>
    <w:rsid w:val="00DE18F9"/>
    <w:rsid w:val="00DF0AFC"/>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419F"/>
    <w:rsid w:val="00E77C45"/>
    <w:rsid w:val="00E80DA8"/>
    <w:rsid w:val="00E81C32"/>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E1B1A"/>
    <w:rsid w:val="00EF1198"/>
    <w:rsid w:val="00EF5FD9"/>
    <w:rsid w:val="00F025F4"/>
    <w:rsid w:val="00F15284"/>
    <w:rsid w:val="00F17E68"/>
    <w:rsid w:val="00F22AC0"/>
    <w:rsid w:val="00F33180"/>
    <w:rsid w:val="00F44A7B"/>
    <w:rsid w:val="00F45F52"/>
    <w:rsid w:val="00F466F7"/>
    <w:rsid w:val="00F560AA"/>
    <w:rsid w:val="00F61A7A"/>
    <w:rsid w:val="00F623EE"/>
    <w:rsid w:val="00F62BD1"/>
    <w:rsid w:val="00F659D8"/>
    <w:rsid w:val="00F71ED4"/>
    <w:rsid w:val="00F72DF6"/>
    <w:rsid w:val="00F76B46"/>
    <w:rsid w:val="00F7792C"/>
    <w:rsid w:val="00F80B3A"/>
    <w:rsid w:val="00F80D1D"/>
    <w:rsid w:val="00F82085"/>
    <w:rsid w:val="00F825B3"/>
    <w:rsid w:val="00F84115"/>
    <w:rsid w:val="00F85003"/>
    <w:rsid w:val="00F93FF2"/>
    <w:rsid w:val="00F94D96"/>
    <w:rsid w:val="00F95F67"/>
    <w:rsid w:val="00F96A88"/>
    <w:rsid w:val="00F97DC4"/>
    <w:rsid w:val="00FA199E"/>
    <w:rsid w:val="00FA5822"/>
    <w:rsid w:val="00FA63CF"/>
    <w:rsid w:val="00FA6C7D"/>
    <w:rsid w:val="00FA7103"/>
    <w:rsid w:val="00FB0497"/>
    <w:rsid w:val="00FB362C"/>
    <w:rsid w:val="00FB4F82"/>
    <w:rsid w:val="00FB7709"/>
    <w:rsid w:val="00FC0FDE"/>
    <w:rsid w:val="00FC1E6D"/>
    <w:rsid w:val="00FD1154"/>
    <w:rsid w:val="00FD22D8"/>
    <w:rsid w:val="00FD4A33"/>
    <w:rsid w:val="00FD55B6"/>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Revision">
    <w:name w:val="Revision"/>
    <w:hidden/>
    <w:uiPriority w:val="99"/>
    <w:semiHidden/>
    <w:rsid w:val="00CF2080"/>
    <w:pPr>
      <w:spacing w:after="0" w:line="240" w:lineRule="auto"/>
    </w:pPr>
    <w:rPr>
      <w:rFonts w:ascii="VNI-Times" w:eastAsia="Times New Roman" w:hAnsi="VNI-Times"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Revision">
    <w:name w:val="Revision"/>
    <w:hidden/>
    <w:uiPriority w:val="99"/>
    <w:semiHidden/>
    <w:rsid w:val="00CF2080"/>
    <w:pPr>
      <w:spacing w:after="0" w:line="240" w:lineRule="auto"/>
    </w:pPr>
    <w:rPr>
      <w:rFonts w:ascii="VNI-Times" w:eastAsia="Times New Roman" w:hAnsi="VNI-Times"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16E66-A3D8-4716-A186-3FD250E864E2}"/>
</file>

<file path=customXml/itemProps2.xml><?xml version="1.0" encoding="utf-8"?>
<ds:datastoreItem xmlns:ds="http://schemas.openxmlformats.org/officeDocument/2006/customXml" ds:itemID="{5FB59004-D95C-4D95-81B4-BFB46E3A2500}"/>
</file>

<file path=customXml/itemProps3.xml><?xml version="1.0" encoding="utf-8"?>
<ds:datastoreItem xmlns:ds="http://schemas.openxmlformats.org/officeDocument/2006/customXml" ds:itemID="{D3E2C980-5A0E-4734-8195-4EA1461D7E7E}"/>
</file>

<file path=customXml/itemProps4.xml><?xml version="1.0" encoding="utf-8"?>
<ds:datastoreItem xmlns:ds="http://schemas.openxmlformats.org/officeDocument/2006/customXml" ds:itemID="{AF218012-140B-4D3F-8098-0A1F92CA1F44}"/>
</file>

<file path=docProps/app.xml><?xml version="1.0" encoding="utf-8"?>
<Properties xmlns="http://schemas.openxmlformats.org/officeDocument/2006/extended-properties" xmlns:vt="http://schemas.openxmlformats.org/officeDocument/2006/docPropsVTypes">
  <Template>Normal</Template>
  <TotalTime>202</TotalTime>
  <Pages>9</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20</cp:revision>
  <cp:lastPrinted>2024-09-06T07:24:00Z</cp:lastPrinted>
  <dcterms:created xsi:type="dcterms:W3CDTF">2024-08-27T08:46:00Z</dcterms:created>
  <dcterms:modified xsi:type="dcterms:W3CDTF">2024-09-11T08:01:00Z</dcterms:modified>
</cp:coreProperties>
</file>