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08" w:type="pct"/>
        <w:tblLook w:val="04A0" w:firstRow="1" w:lastRow="0" w:firstColumn="1" w:lastColumn="0" w:noHBand="0" w:noVBand="1"/>
      </w:tblPr>
      <w:tblGrid>
        <w:gridCol w:w="595"/>
        <w:gridCol w:w="2154"/>
        <w:gridCol w:w="1131"/>
        <w:gridCol w:w="1038"/>
        <w:gridCol w:w="1077"/>
        <w:gridCol w:w="931"/>
        <w:gridCol w:w="931"/>
        <w:gridCol w:w="934"/>
        <w:gridCol w:w="943"/>
        <w:gridCol w:w="1071"/>
        <w:gridCol w:w="949"/>
        <w:gridCol w:w="1017"/>
        <w:gridCol w:w="1017"/>
        <w:gridCol w:w="1173"/>
      </w:tblGrid>
      <w:tr w:rsidR="009F06F3" w:rsidRPr="009F06F3" w:rsidTr="0091325E">
        <w:trPr>
          <w:trHeight w:val="2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06F3" w:rsidRPr="009F06F3" w:rsidRDefault="009F06F3" w:rsidP="009F06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bookmarkStart w:id="0" w:name="RANGE!A2:N24"/>
            <w:r w:rsidRPr="009F06F3">
              <w:rPr>
                <w:rFonts w:eastAsia="Times New Roman" w:cs="Times New Roman"/>
                <w:b/>
                <w:bCs/>
                <w:sz w:val="24"/>
                <w:szCs w:val="24"/>
              </w:rPr>
              <w:t>Phụ lục VI</w:t>
            </w:r>
            <w:bookmarkEnd w:id="0"/>
          </w:p>
        </w:tc>
      </w:tr>
      <w:tr w:rsidR="009F06F3" w:rsidRPr="009F06F3" w:rsidTr="0091325E">
        <w:trPr>
          <w:trHeight w:val="2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06F3" w:rsidRPr="009F06F3" w:rsidRDefault="009F06F3" w:rsidP="009F06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F06F3">
              <w:rPr>
                <w:rFonts w:eastAsia="Times New Roman" w:cs="Times New Roman"/>
                <w:b/>
                <w:bCs/>
                <w:sz w:val="24"/>
                <w:szCs w:val="24"/>
              </w:rPr>
              <w:t>BẢNG TỔNG HỢP CÂN ĐỐI VỐN ĐẦU TƯ CÔNG GIAI ĐOẠN 2021</w:t>
            </w:r>
            <w:r w:rsidR="00020AE1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F06F3">
              <w:rPr>
                <w:rFonts w:eastAsia="Times New Roman" w:cs="Times New Roman"/>
                <w:b/>
                <w:bCs/>
                <w:sz w:val="24"/>
                <w:szCs w:val="24"/>
              </w:rPr>
              <w:t>-</w:t>
            </w:r>
            <w:r w:rsidR="00020AE1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F06F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2025 ĐIỀU CHỈNH PHÂN CẤP ĐỐI VỚI UBND CẤP HUYỆN QUYẾT ĐỊNH ĐẦU TƯ VÀ BỔ SUNG CÓ MỤC TIÊU CHO CẤP HUYỆN </w:t>
            </w:r>
          </w:p>
        </w:tc>
      </w:tr>
      <w:tr w:rsidR="009F06F3" w:rsidRPr="009F06F3" w:rsidTr="0091325E">
        <w:trPr>
          <w:trHeight w:val="2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F06F3" w:rsidRDefault="00020AE1" w:rsidP="00020AE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</w:rPr>
              <w:t>(Kèm theo Quyết định số 2772</w:t>
            </w:r>
            <w:r w:rsidR="009F06F3" w:rsidRPr="009F06F3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/QĐ-UBND ngày 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</w:rPr>
              <w:t>08</w:t>
            </w:r>
            <w:r w:rsidR="009F06F3" w:rsidRPr="009F06F3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tháng 11 năm 2023 của Uỷ ban nhân dân tỉnh)</w:t>
            </w:r>
          </w:p>
          <w:p w:rsidR="00020AE1" w:rsidRPr="00020AE1" w:rsidRDefault="00020AE1" w:rsidP="00020AE1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16"/>
                <w:szCs w:val="24"/>
              </w:rPr>
            </w:pPr>
          </w:p>
        </w:tc>
      </w:tr>
      <w:tr w:rsidR="0091325E" w:rsidRPr="009F06F3" w:rsidTr="0091325E">
        <w:trPr>
          <w:trHeight w:val="20"/>
        </w:trPr>
        <w:tc>
          <w:tcPr>
            <w:tcW w:w="199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bottom"/>
            <w:hideMark/>
          </w:tcPr>
          <w:p w:rsidR="009F06F3" w:rsidRPr="009F06F3" w:rsidRDefault="009F06F3" w:rsidP="009F06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9F06F3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bottom"/>
            <w:hideMark/>
          </w:tcPr>
          <w:p w:rsidR="009F06F3" w:rsidRPr="009F06F3" w:rsidRDefault="009F06F3" w:rsidP="009F06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06F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bottom"/>
            <w:hideMark/>
          </w:tcPr>
          <w:p w:rsidR="009F06F3" w:rsidRPr="009F06F3" w:rsidRDefault="009F06F3" w:rsidP="009F06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06F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bottom"/>
            <w:hideMark/>
          </w:tcPr>
          <w:p w:rsidR="009F06F3" w:rsidRPr="009F06F3" w:rsidRDefault="009F06F3" w:rsidP="009F06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06F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bottom"/>
            <w:hideMark/>
          </w:tcPr>
          <w:p w:rsidR="009F06F3" w:rsidRPr="009F06F3" w:rsidRDefault="009F06F3" w:rsidP="009F06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06F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bottom"/>
            <w:hideMark/>
          </w:tcPr>
          <w:p w:rsidR="009F06F3" w:rsidRPr="009F06F3" w:rsidRDefault="009F06F3" w:rsidP="009F06F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F06F3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4" w:type="pct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bottom"/>
            <w:hideMark/>
          </w:tcPr>
          <w:p w:rsidR="009F06F3" w:rsidRPr="009F06F3" w:rsidRDefault="009F06F3" w:rsidP="009F06F3">
            <w:pPr>
              <w:spacing w:after="0" w:line="240" w:lineRule="auto"/>
              <w:jc w:val="right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9F06F3">
              <w:rPr>
                <w:rFonts w:eastAsia="Times New Roman" w:cs="Times New Roman"/>
                <w:i/>
                <w:iCs/>
                <w:sz w:val="24"/>
                <w:szCs w:val="24"/>
              </w:rPr>
              <w:t>Đơn vị tính: Triệu đồng.</w:t>
            </w:r>
          </w:p>
        </w:tc>
      </w:tr>
      <w:tr w:rsidR="0091325E" w:rsidRPr="009F06F3" w:rsidTr="0091325E">
        <w:trPr>
          <w:trHeight w:val="20"/>
        </w:trPr>
        <w:tc>
          <w:tcPr>
            <w:tcW w:w="199" w:type="pct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6F3" w:rsidRPr="00B53637" w:rsidRDefault="009F06F3" w:rsidP="009F06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53637">
              <w:rPr>
                <w:rFonts w:eastAsia="Times New Roman" w:cs="Times New Roman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720" w:type="pct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06F3" w:rsidRPr="00B53637" w:rsidRDefault="009F06F3" w:rsidP="009F06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53637">
              <w:rPr>
                <w:rFonts w:eastAsia="Times New Roman" w:cs="Times New Roman"/>
                <w:b/>
                <w:bCs/>
                <w:sz w:val="20"/>
                <w:szCs w:val="20"/>
              </w:rPr>
              <w:t>Tên đơn vị</w:t>
            </w:r>
          </w:p>
        </w:tc>
        <w:tc>
          <w:tcPr>
            <w:tcW w:w="2692" w:type="pct"/>
            <w:gridSpan w:val="8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F06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53637">
              <w:rPr>
                <w:rFonts w:eastAsia="Times New Roman" w:cs="Times New Roman"/>
                <w:b/>
                <w:bCs/>
                <w:sz w:val="20"/>
                <w:szCs w:val="20"/>
              </w:rPr>
              <w:t>Phân bổ nguồn vốn đầu tư công cấp huyện giai đoạn 2021-2025 (nguồn NSTT và XSKT)</w:t>
            </w:r>
          </w:p>
        </w:tc>
        <w:tc>
          <w:tcPr>
            <w:tcW w:w="1390" w:type="pct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F06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53637">
              <w:rPr>
                <w:rFonts w:eastAsia="Times New Roman" w:cs="Times New Roman"/>
                <w:b/>
                <w:bCs/>
                <w:sz w:val="20"/>
                <w:szCs w:val="20"/>
              </w:rPr>
              <w:t>Nguồn vốn thu tiền sử dụng đất giai đoạn 2021-2025</w:t>
            </w:r>
          </w:p>
        </w:tc>
      </w:tr>
      <w:tr w:rsidR="0091325E" w:rsidRPr="009F06F3" w:rsidTr="0091325E">
        <w:trPr>
          <w:trHeight w:val="20"/>
        </w:trPr>
        <w:tc>
          <w:tcPr>
            <w:tcW w:w="199" w:type="pct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6F3" w:rsidRPr="00B53637" w:rsidRDefault="009F06F3" w:rsidP="009F06F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6F3" w:rsidRPr="00B53637" w:rsidRDefault="009F06F3" w:rsidP="009F06F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F06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53637">
              <w:rPr>
                <w:rFonts w:eastAsia="Times New Roman" w:cs="Times New Roman"/>
                <w:b/>
                <w:bCs/>
                <w:sz w:val="20"/>
                <w:szCs w:val="20"/>
              </w:rPr>
              <w:t>Tổng số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F06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53637">
              <w:rPr>
                <w:rFonts w:eastAsia="Times New Roman" w:cs="Times New Roman"/>
                <w:b/>
                <w:bCs/>
                <w:sz w:val="20"/>
                <w:szCs w:val="20"/>
              </w:rPr>
              <w:t>Nguồn vốn ngân sách tập trung</w:t>
            </w:r>
          </w:p>
        </w:tc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F06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53637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Nguồn vốn kết dư </w:t>
            </w:r>
            <w:r w:rsidRPr="00B53637">
              <w:rPr>
                <w:rFonts w:eastAsia="Times New Roman" w:cs="Times New Roman"/>
                <w:sz w:val="20"/>
                <w:szCs w:val="20"/>
              </w:rPr>
              <w:t>(NST hỗ trợ XHH GTNT các năm trước)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F06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53637">
              <w:rPr>
                <w:rFonts w:eastAsia="Times New Roman" w:cs="Times New Roman"/>
                <w:b/>
                <w:bCs/>
                <w:sz w:val="20"/>
                <w:szCs w:val="20"/>
              </w:rPr>
              <w:t>Nguồn vốn xổ số kiến thiết</w:t>
            </w:r>
          </w:p>
        </w:tc>
        <w:tc>
          <w:tcPr>
            <w:tcW w:w="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F06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53637">
              <w:rPr>
                <w:rFonts w:eastAsia="Times New Roman" w:cs="Times New Roman"/>
                <w:b/>
                <w:bCs/>
                <w:sz w:val="20"/>
                <w:szCs w:val="20"/>
              </w:rPr>
              <w:t>Bổ sung có mục tiêu từ ngân sách tỉnh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F06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53637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NSTW thưởng </w:t>
            </w:r>
            <w:r w:rsidRPr="00B53637">
              <w:rPr>
                <w:rFonts w:eastAsia="Times New Roman" w:cs="Times New Roman"/>
                <w:sz w:val="20"/>
                <w:szCs w:val="20"/>
              </w:rPr>
              <w:t>(vượt dự toán thu ngân sách năm 2021)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F06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53637">
              <w:rPr>
                <w:rFonts w:eastAsia="Times New Roman" w:cs="Times New Roman"/>
                <w:b/>
                <w:bCs/>
                <w:sz w:val="20"/>
                <w:szCs w:val="20"/>
              </w:rPr>
              <w:t>Năm 2021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F06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53637">
              <w:rPr>
                <w:rFonts w:eastAsia="Times New Roman" w:cs="Times New Roman"/>
                <w:b/>
                <w:bCs/>
                <w:sz w:val="20"/>
                <w:szCs w:val="20"/>
              </w:rPr>
              <w:t>Năm 2</w:t>
            </w:r>
            <w:bookmarkStart w:id="1" w:name="_GoBack"/>
            <w:bookmarkEnd w:id="1"/>
            <w:r w:rsidRPr="00B53637">
              <w:rPr>
                <w:rFonts w:eastAsia="Times New Roman" w:cs="Times New Roman"/>
                <w:b/>
                <w:bCs/>
                <w:sz w:val="20"/>
                <w:szCs w:val="20"/>
              </w:rPr>
              <w:t>022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F06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53637">
              <w:rPr>
                <w:rFonts w:eastAsia="Times New Roman" w:cs="Times New Roman"/>
                <w:b/>
                <w:bCs/>
                <w:sz w:val="20"/>
                <w:szCs w:val="20"/>
              </w:rPr>
              <w:t>Năm 2023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F06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53637">
              <w:rPr>
                <w:rFonts w:eastAsia="Times New Roman" w:cs="Times New Roman"/>
                <w:b/>
                <w:bCs/>
                <w:sz w:val="20"/>
                <w:szCs w:val="20"/>
              </w:rPr>
              <w:t>Giai đoạn 2024-2025</w:t>
            </w:r>
          </w:p>
        </w:tc>
      </w:tr>
      <w:tr w:rsidR="0091325E" w:rsidRPr="009F06F3" w:rsidTr="0091325E">
        <w:trPr>
          <w:trHeight w:val="20"/>
        </w:trPr>
        <w:tc>
          <w:tcPr>
            <w:tcW w:w="199" w:type="pct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6F3" w:rsidRPr="00B53637" w:rsidRDefault="009F06F3" w:rsidP="009F06F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6F3" w:rsidRPr="00B53637" w:rsidRDefault="009F06F3" w:rsidP="009F06F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6F3" w:rsidRPr="00B53637" w:rsidRDefault="009F06F3" w:rsidP="009F06F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6F3" w:rsidRPr="00B53637" w:rsidRDefault="009F06F3" w:rsidP="009F06F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6F3" w:rsidRPr="00B53637" w:rsidRDefault="009F06F3" w:rsidP="009F06F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6F3" w:rsidRPr="00B53637" w:rsidRDefault="009F06F3" w:rsidP="009F06F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F06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53637">
              <w:rPr>
                <w:rFonts w:eastAsia="Times New Roman" w:cs="Times New Roman"/>
                <w:b/>
                <w:bCs/>
                <w:sz w:val="20"/>
                <w:szCs w:val="20"/>
              </w:rPr>
              <w:t>Tổng số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F06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Trong đó:</w:t>
            </w: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6F3" w:rsidRPr="00B53637" w:rsidRDefault="009F06F3" w:rsidP="009F06F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6F3" w:rsidRPr="00B53637" w:rsidRDefault="009F06F3" w:rsidP="009F06F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6F3" w:rsidRPr="00B53637" w:rsidRDefault="009F06F3" w:rsidP="009F06F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6F3" w:rsidRPr="00B53637" w:rsidRDefault="009F06F3" w:rsidP="009F06F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F06F3" w:rsidRPr="00B53637" w:rsidRDefault="009F06F3" w:rsidP="009F06F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91325E" w:rsidRPr="009F06F3" w:rsidTr="0091325E">
        <w:trPr>
          <w:trHeight w:val="20"/>
        </w:trPr>
        <w:tc>
          <w:tcPr>
            <w:tcW w:w="199" w:type="pct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6F3" w:rsidRPr="00B53637" w:rsidRDefault="009F06F3" w:rsidP="009F06F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6F3" w:rsidRPr="00B53637" w:rsidRDefault="009F06F3" w:rsidP="009F06F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6F3" w:rsidRPr="00B53637" w:rsidRDefault="009F06F3" w:rsidP="009F06F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6F3" w:rsidRPr="00B53637" w:rsidRDefault="009F06F3" w:rsidP="009F06F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6F3" w:rsidRPr="00B53637" w:rsidRDefault="009F06F3" w:rsidP="009F06F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6F3" w:rsidRPr="00B53637" w:rsidRDefault="009F06F3" w:rsidP="009F06F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6F3" w:rsidRPr="00B53637" w:rsidRDefault="009F06F3" w:rsidP="009F06F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F06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53637">
              <w:rPr>
                <w:rFonts w:eastAsia="Times New Roman" w:cs="Times New Roman"/>
                <w:b/>
                <w:bCs/>
                <w:sz w:val="20"/>
                <w:szCs w:val="20"/>
              </w:rPr>
              <w:t>Dự án mới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F06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53637">
              <w:rPr>
                <w:rFonts w:eastAsia="Times New Roman" w:cs="Times New Roman"/>
                <w:b/>
                <w:bCs/>
                <w:sz w:val="20"/>
                <w:szCs w:val="20"/>
              </w:rPr>
              <w:t>Dự án chuyển tiếp</w:t>
            </w: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6F3" w:rsidRPr="00B53637" w:rsidRDefault="009F06F3" w:rsidP="009F06F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6F3" w:rsidRPr="00B53637" w:rsidRDefault="009F06F3" w:rsidP="009F06F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6F3" w:rsidRPr="00B53637" w:rsidRDefault="009F06F3" w:rsidP="009F06F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6F3" w:rsidRPr="00B53637" w:rsidRDefault="009F06F3" w:rsidP="009F06F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F06F3" w:rsidRPr="00B53637" w:rsidRDefault="009F06F3" w:rsidP="009F06F3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91325E" w:rsidRPr="009F06F3" w:rsidTr="0091325E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F06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53637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F06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53637">
              <w:rPr>
                <w:rFonts w:eastAsia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F06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53637">
              <w:rPr>
                <w:rFonts w:eastAsia="Times New Roman" w:cs="Times New Roman"/>
                <w:b/>
                <w:bCs/>
                <w:sz w:val="20"/>
                <w:szCs w:val="20"/>
              </w:rPr>
              <w:t>3=4+...+8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F06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53637">
              <w:rPr>
                <w:rFonts w:eastAsia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F06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53637">
              <w:rPr>
                <w:rFonts w:eastAsia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F06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53637">
              <w:rPr>
                <w:rFonts w:eastAsia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F06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53637">
              <w:rPr>
                <w:rFonts w:eastAsia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F06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53637">
              <w:rPr>
                <w:rFonts w:eastAsia="Times New Roman" w:cs="Times New Roman"/>
                <w:b/>
                <w:bCs/>
                <w:sz w:val="20"/>
                <w:szCs w:val="20"/>
              </w:rPr>
              <w:t>7.1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F06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53637">
              <w:rPr>
                <w:rFonts w:eastAsia="Times New Roman" w:cs="Times New Roman"/>
                <w:b/>
                <w:bCs/>
                <w:sz w:val="20"/>
                <w:szCs w:val="20"/>
              </w:rPr>
              <w:t>7.2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F06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53637">
              <w:rPr>
                <w:rFonts w:eastAsia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F06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53637">
              <w:rPr>
                <w:rFonts w:eastAsia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F06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53637">
              <w:rPr>
                <w:rFonts w:eastAsia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F06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53637">
              <w:rPr>
                <w:rFonts w:eastAsia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F06F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53637">
              <w:rPr>
                <w:rFonts w:eastAsia="Times New Roman" w:cs="Times New Roman"/>
                <w:b/>
                <w:bCs/>
                <w:sz w:val="20"/>
                <w:szCs w:val="20"/>
              </w:rPr>
              <w:t>12</w:t>
            </w:r>
          </w:p>
        </w:tc>
      </w:tr>
      <w:tr w:rsidR="0091325E" w:rsidRPr="009F06F3" w:rsidTr="0091325E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53637">
              <w:rPr>
                <w:rFonts w:eastAsia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53637">
              <w:rPr>
                <w:rFonts w:eastAsia="Times New Roman" w:cs="Times New Roman"/>
                <w:b/>
                <w:bCs/>
                <w:sz w:val="20"/>
                <w:szCs w:val="20"/>
              </w:rPr>
              <w:t>Tổng số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53637">
              <w:rPr>
                <w:rFonts w:eastAsia="Times New Roman" w:cs="Times New Roman"/>
                <w:b/>
                <w:bCs/>
                <w:sz w:val="20"/>
                <w:szCs w:val="20"/>
              </w:rPr>
              <w:t>12.971.238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53637">
              <w:rPr>
                <w:rFonts w:eastAsia="Times New Roman" w:cs="Times New Roman"/>
                <w:b/>
                <w:bCs/>
                <w:sz w:val="20"/>
                <w:szCs w:val="20"/>
              </w:rPr>
              <w:t>7.319.640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53637">
              <w:rPr>
                <w:rFonts w:eastAsia="Times New Roman" w:cs="Times New Roman"/>
                <w:b/>
                <w:bCs/>
                <w:sz w:val="20"/>
                <w:szCs w:val="20"/>
              </w:rPr>
              <w:t>11.652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53637">
              <w:rPr>
                <w:rFonts w:eastAsia="Times New Roman" w:cs="Times New Roman"/>
                <w:b/>
                <w:bCs/>
                <w:sz w:val="20"/>
                <w:szCs w:val="20"/>
              </w:rPr>
              <w:t>3.080.000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53637">
              <w:rPr>
                <w:rFonts w:eastAsia="Times New Roman" w:cs="Times New Roman"/>
                <w:b/>
                <w:bCs/>
                <w:sz w:val="20"/>
                <w:szCs w:val="20"/>
              </w:rPr>
              <w:t>1.559.946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53637">
              <w:rPr>
                <w:rFonts w:eastAsia="Times New Roman" w:cs="Times New Roman"/>
                <w:b/>
                <w:bCs/>
                <w:sz w:val="20"/>
                <w:szCs w:val="20"/>
              </w:rPr>
              <w:t>1.256.499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53637">
              <w:rPr>
                <w:rFonts w:eastAsia="Times New Roman" w:cs="Times New Roman"/>
                <w:b/>
                <w:bCs/>
                <w:sz w:val="20"/>
                <w:szCs w:val="20"/>
              </w:rPr>
              <w:t>303.447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53637">
              <w:rPr>
                <w:rFonts w:eastAsia="Times New Roman" w:cs="Times New Roman"/>
                <w:b/>
                <w:bCs/>
                <w:sz w:val="20"/>
                <w:szCs w:val="20"/>
              </w:rPr>
              <w:t>1.000.000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53637">
              <w:rPr>
                <w:rFonts w:eastAsia="Times New Roman" w:cs="Times New Roman"/>
                <w:b/>
                <w:bCs/>
                <w:sz w:val="20"/>
                <w:szCs w:val="20"/>
              </w:rPr>
              <w:t>1.200.000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53637">
              <w:rPr>
                <w:rFonts w:eastAsia="Times New Roman" w:cs="Times New Roman"/>
                <w:b/>
                <w:bCs/>
                <w:sz w:val="20"/>
                <w:szCs w:val="20"/>
              </w:rPr>
              <w:t>1.200.000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53637">
              <w:rPr>
                <w:rFonts w:eastAsia="Times New Roman" w:cs="Times New Roman"/>
                <w:b/>
                <w:bCs/>
                <w:sz w:val="20"/>
                <w:szCs w:val="20"/>
              </w:rPr>
              <w:t>1.449.000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53637">
              <w:rPr>
                <w:rFonts w:eastAsia="Times New Roman" w:cs="Times New Roman"/>
                <w:b/>
                <w:bCs/>
                <w:sz w:val="20"/>
                <w:szCs w:val="20"/>
              </w:rPr>
              <w:t>1.851.000</w:t>
            </w:r>
          </w:p>
        </w:tc>
      </w:tr>
      <w:tr w:rsidR="0091325E" w:rsidRPr="009F06F3" w:rsidTr="0091325E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Thành phố Biên Hòa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53637">
              <w:rPr>
                <w:rFonts w:eastAsia="Times New Roman" w:cs="Times New Roman"/>
                <w:b/>
                <w:bCs/>
                <w:sz w:val="20"/>
                <w:szCs w:val="20"/>
              </w:rPr>
              <w:t>1.704.299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969.002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407.742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77.555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75.555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2.000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250.000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373.200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354.000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270.000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F06F3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 xml:space="preserve"> Căn cứ tình hình thực tế của địa phương để xây dựng cho phù hợp. </w:t>
            </w:r>
          </w:p>
        </w:tc>
      </w:tr>
      <w:tr w:rsidR="0091325E" w:rsidRPr="009F06F3" w:rsidTr="0091325E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Thành phố Long Khánh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53637">
              <w:rPr>
                <w:rFonts w:eastAsia="Times New Roman" w:cs="Times New Roman"/>
                <w:b/>
                <w:bCs/>
                <w:sz w:val="20"/>
                <w:szCs w:val="20"/>
              </w:rPr>
              <w:t>1.061.660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603.670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254.016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133.974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133.974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70.000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51.000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72.000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90.000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F06F3" w:rsidRPr="009F06F3" w:rsidRDefault="009F06F3" w:rsidP="009F06F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1325E" w:rsidRPr="009F06F3" w:rsidTr="0091325E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Huyện Nhơn Trạch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53637">
              <w:rPr>
                <w:rFonts w:eastAsia="Times New Roman" w:cs="Times New Roman"/>
                <w:b/>
                <w:bCs/>
                <w:sz w:val="20"/>
                <w:szCs w:val="20"/>
              </w:rPr>
              <w:t>976.129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581.849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146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244.834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54.300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54.300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95.000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142.200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96.000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120.000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F06F3" w:rsidRPr="009F06F3" w:rsidRDefault="009F06F3" w:rsidP="009F06F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1325E" w:rsidRPr="009F06F3" w:rsidTr="0091325E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Huyện Long Thành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53637">
              <w:rPr>
                <w:rFonts w:eastAsia="Times New Roman" w:cs="Times New Roman"/>
                <w:b/>
                <w:bCs/>
                <w:sz w:val="20"/>
                <w:szCs w:val="20"/>
              </w:rPr>
              <w:t>1.014.797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590.799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248.600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80.398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80.398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95.000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301.200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336.000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420.000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F06F3" w:rsidRPr="009F06F3" w:rsidRDefault="009F06F3" w:rsidP="009F06F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1325E" w:rsidRPr="009F06F3" w:rsidTr="0091325E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Huyện Trảng Bom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53637">
              <w:rPr>
                <w:rFonts w:eastAsia="Times New Roman" w:cs="Times New Roman"/>
                <w:b/>
                <w:bCs/>
                <w:sz w:val="20"/>
                <w:szCs w:val="20"/>
              </w:rPr>
              <w:t>1.021.932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581.850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10.560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244.834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114.688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86.849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27.839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70.000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157.200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108.000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132.000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F06F3" w:rsidRPr="009F06F3" w:rsidRDefault="009F06F3" w:rsidP="009F06F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1325E" w:rsidRPr="009F06F3" w:rsidTr="0091325E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Huyện Cẩm Mỹ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53637">
              <w:rPr>
                <w:rFonts w:eastAsia="Times New Roman" w:cs="Times New Roman"/>
                <w:b/>
                <w:bCs/>
                <w:sz w:val="20"/>
                <w:szCs w:val="20"/>
              </w:rPr>
              <w:t>1.120.672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609.820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256.604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184.248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132.548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51.700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70.000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16.200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39.600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60.000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F06F3" w:rsidRPr="009F06F3" w:rsidRDefault="009F06F3" w:rsidP="009F06F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1325E" w:rsidRPr="009F06F3" w:rsidTr="0091325E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Huyện Xuân Lộc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53637">
              <w:rPr>
                <w:rFonts w:eastAsia="Times New Roman" w:cs="Times New Roman"/>
                <w:b/>
                <w:bCs/>
                <w:sz w:val="20"/>
                <w:szCs w:val="20"/>
              </w:rPr>
              <w:t>1.158.443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671.815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282.690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133.938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133.938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70.000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19.800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19.800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22.200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F06F3" w:rsidRPr="009F06F3" w:rsidRDefault="009F06F3" w:rsidP="009F06F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1325E" w:rsidRPr="009F06F3" w:rsidTr="0091325E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Huyện Tân Phú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53637">
              <w:rPr>
                <w:rFonts w:eastAsia="Times New Roman" w:cs="Times New Roman"/>
                <w:b/>
                <w:bCs/>
                <w:sz w:val="20"/>
                <w:szCs w:val="20"/>
              </w:rPr>
              <w:t>1.425.117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766.543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322.550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266.024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155.324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110.700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70.000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12.000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15.600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22.200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F06F3" w:rsidRPr="009F06F3" w:rsidRDefault="009F06F3" w:rsidP="009F06F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1325E" w:rsidRPr="009F06F3" w:rsidTr="0091325E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Huyện Định Quán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53637">
              <w:rPr>
                <w:rFonts w:eastAsia="Times New Roman" w:cs="Times New Roman"/>
                <w:b/>
                <w:bCs/>
                <w:sz w:val="20"/>
                <w:szCs w:val="20"/>
              </w:rPr>
              <w:t>1.299.363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722.230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303.904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203.229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145.729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57.500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70.000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39.000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42.000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47.400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F06F3" w:rsidRPr="009F06F3" w:rsidRDefault="009F06F3" w:rsidP="009F06F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1325E" w:rsidRPr="009F06F3" w:rsidTr="0091325E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Huyện Thống Nhất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53637">
              <w:rPr>
                <w:rFonts w:eastAsia="Times New Roman" w:cs="Times New Roman"/>
                <w:b/>
                <w:bCs/>
                <w:sz w:val="20"/>
                <w:szCs w:val="20"/>
              </w:rPr>
              <w:t>1.015.921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576.254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946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242.479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126.242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126.242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70.000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28.200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36.000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150.000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9F06F3" w:rsidRPr="009F06F3" w:rsidRDefault="009F06F3" w:rsidP="009F06F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1325E" w:rsidRPr="009F06F3" w:rsidTr="0091325E">
        <w:trPr>
          <w:trHeight w:val="20"/>
        </w:trPr>
        <w:tc>
          <w:tcPr>
            <w:tcW w:w="199" w:type="pct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11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Huyện Vĩnh Cửu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53637">
              <w:rPr>
                <w:rFonts w:eastAsia="Times New Roman" w:cs="Times New Roman"/>
                <w:b/>
                <w:bCs/>
                <w:sz w:val="20"/>
                <w:szCs w:val="20"/>
              </w:rPr>
              <w:t>1.172.905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645.808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271.747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185.350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131.642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53.708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70.000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60.000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81.000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6F3" w:rsidRPr="00B53637" w:rsidRDefault="009F06F3" w:rsidP="0091325E">
            <w:pPr>
              <w:spacing w:before="20" w:after="20" w:line="240" w:lineRule="auto"/>
              <w:ind w:left="-57" w:right="-57"/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B53637">
              <w:rPr>
                <w:rFonts w:eastAsia="Times New Roman" w:cs="Times New Roman"/>
                <w:sz w:val="20"/>
                <w:szCs w:val="20"/>
              </w:rPr>
              <w:t>115.200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9F06F3" w:rsidRPr="009F06F3" w:rsidRDefault="009F06F3" w:rsidP="009F06F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F06F3" w:rsidRPr="009F06F3" w:rsidTr="0091325E">
        <w:trPr>
          <w:trHeight w:val="2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1325E" w:rsidRDefault="009F06F3" w:rsidP="0091325E">
            <w:pPr>
              <w:spacing w:before="80" w:after="0" w:line="240" w:lineRule="auto"/>
              <w:rPr>
                <w:rFonts w:eastAsia="Times New Roman" w:cs="Times New Roman"/>
                <w:sz w:val="22"/>
              </w:rPr>
            </w:pPr>
            <w:r w:rsidRPr="0091325E">
              <w:rPr>
                <w:rFonts w:eastAsia="Times New Roman" w:cs="Times New Roman"/>
                <w:b/>
                <w:bCs/>
                <w:sz w:val="22"/>
              </w:rPr>
              <w:t>Ghi chú:</w:t>
            </w:r>
            <w:r w:rsidR="0091325E">
              <w:rPr>
                <w:rFonts w:eastAsia="Times New Roman" w:cs="Times New Roman"/>
                <w:sz w:val="22"/>
              </w:rPr>
              <w:t xml:space="preserve"> </w:t>
            </w:r>
          </w:p>
          <w:p w:rsidR="0091325E" w:rsidRDefault="009F06F3" w:rsidP="0091325E">
            <w:pPr>
              <w:spacing w:before="80" w:after="0" w:line="240" w:lineRule="auto"/>
              <w:rPr>
                <w:rFonts w:eastAsia="Times New Roman" w:cs="Times New Roman"/>
                <w:sz w:val="22"/>
              </w:rPr>
            </w:pPr>
            <w:r w:rsidRPr="0091325E">
              <w:rPr>
                <w:rFonts w:eastAsia="Times New Roman" w:cs="Times New Roman"/>
                <w:sz w:val="22"/>
              </w:rPr>
              <w:t xml:space="preserve">- Chưa bao gồm vốn </w:t>
            </w:r>
            <w:r w:rsidR="0091325E">
              <w:rPr>
                <w:rFonts w:eastAsia="Times New Roman" w:cs="Times New Roman"/>
                <w:sz w:val="22"/>
              </w:rPr>
              <w:t>XHH phân bổ cho huyện hàng năm.</w:t>
            </w:r>
          </w:p>
          <w:p w:rsidR="0091325E" w:rsidRDefault="009F06F3" w:rsidP="0091325E">
            <w:pPr>
              <w:spacing w:before="80" w:after="0" w:line="240" w:lineRule="auto"/>
              <w:rPr>
                <w:rFonts w:eastAsia="Times New Roman" w:cs="Times New Roman"/>
                <w:sz w:val="22"/>
              </w:rPr>
            </w:pPr>
            <w:r w:rsidRPr="0091325E">
              <w:rPr>
                <w:rFonts w:eastAsia="Times New Roman" w:cs="Times New Roman"/>
                <w:sz w:val="22"/>
              </w:rPr>
              <w:t xml:space="preserve">- Đối với nguồn vốn bổ sung có mục tiêu từ ngân sách tỉnh, chỉ thực hiện phân bổ cho dự án cụ thể </w:t>
            </w:r>
            <w:r w:rsidR="0091325E">
              <w:rPr>
                <w:rFonts w:eastAsia="Times New Roman" w:cs="Times New Roman"/>
                <w:sz w:val="22"/>
              </w:rPr>
              <w:t>khi đủ điều kiện về hồ sơ, gồm:</w:t>
            </w:r>
          </w:p>
          <w:p w:rsidR="0091325E" w:rsidRDefault="009F06F3" w:rsidP="0091325E">
            <w:pPr>
              <w:spacing w:before="80" w:after="0" w:line="240" w:lineRule="auto"/>
              <w:rPr>
                <w:rFonts w:eastAsia="Times New Roman" w:cs="Times New Roman"/>
                <w:sz w:val="22"/>
              </w:rPr>
            </w:pPr>
            <w:r w:rsidRPr="0091325E">
              <w:rPr>
                <w:rFonts w:eastAsia="Times New Roman" w:cs="Times New Roman"/>
                <w:sz w:val="22"/>
              </w:rPr>
              <w:t xml:space="preserve">+ Ý kiến chấp thuận của UBND tỉnh về phần vốn ngân sách tỉnh hỗ trợ cho dự án theo Điều 33 Luật Đầu tư công (cụ thể </w:t>
            </w:r>
            <w:r w:rsidR="0091325E">
              <w:rPr>
                <w:rFonts w:eastAsia="Times New Roman" w:cs="Times New Roman"/>
                <w:sz w:val="22"/>
              </w:rPr>
              <w:t>với số tiền, thời gian hỗ trợ).</w:t>
            </w:r>
          </w:p>
          <w:p w:rsidR="009F06F3" w:rsidRPr="0091325E" w:rsidRDefault="009F06F3" w:rsidP="0091325E">
            <w:pPr>
              <w:spacing w:before="80" w:after="0" w:line="240" w:lineRule="auto"/>
              <w:rPr>
                <w:rFonts w:eastAsia="Times New Roman" w:cs="Times New Roman"/>
                <w:sz w:val="22"/>
              </w:rPr>
            </w:pPr>
            <w:r w:rsidRPr="0091325E">
              <w:rPr>
                <w:rFonts w:eastAsia="Times New Roman" w:cs="Times New Roman"/>
                <w:sz w:val="22"/>
              </w:rPr>
              <w:t>+ Dự án đã được cấp huyện quyết định chủ trương đầu tư.</w:t>
            </w:r>
          </w:p>
        </w:tc>
      </w:tr>
    </w:tbl>
    <w:p w:rsidR="00F43081" w:rsidRPr="00020AE1" w:rsidRDefault="00F43081" w:rsidP="009F06F3">
      <w:pPr>
        <w:rPr>
          <w:sz w:val="22"/>
        </w:rPr>
      </w:pPr>
    </w:p>
    <w:sectPr w:rsidR="00F43081" w:rsidRPr="00020AE1" w:rsidSect="005E7676">
      <w:pgSz w:w="16840" w:h="11907" w:orient="landscape" w:code="9"/>
      <w:pgMar w:top="1134" w:right="964" w:bottom="1134" w:left="85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7A4" w:rsidRDefault="00CF37A4" w:rsidP="00F73BC0">
      <w:pPr>
        <w:spacing w:after="0" w:line="240" w:lineRule="auto"/>
      </w:pPr>
      <w:r>
        <w:separator/>
      </w:r>
    </w:p>
  </w:endnote>
  <w:endnote w:type="continuationSeparator" w:id="0">
    <w:p w:rsidR="00CF37A4" w:rsidRDefault="00CF37A4" w:rsidP="00F73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7A4" w:rsidRDefault="00CF37A4" w:rsidP="00F73BC0">
      <w:pPr>
        <w:spacing w:after="0" w:line="240" w:lineRule="auto"/>
      </w:pPr>
      <w:r>
        <w:separator/>
      </w:r>
    </w:p>
  </w:footnote>
  <w:footnote w:type="continuationSeparator" w:id="0">
    <w:p w:rsidR="00CF37A4" w:rsidRDefault="00CF37A4" w:rsidP="00F73B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4A5"/>
    <w:rsid w:val="0000796F"/>
    <w:rsid w:val="00020AE1"/>
    <w:rsid w:val="001333CC"/>
    <w:rsid w:val="00495315"/>
    <w:rsid w:val="00586AE7"/>
    <w:rsid w:val="005E7676"/>
    <w:rsid w:val="008F04A5"/>
    <w:rsid w:val="0091325E"/>
    <w:rsid w:val="009F06F3"/>
    <w:rsid w:val="00B53637"/>
    <w:rsid w:val="00C551D2"/>
    <w:rsid w:val="00CF37A4"/>
    <w:rsid w:val="00D010A4"/>
    <w:rsid w:val="00DC44A0"/>
    <w:rsid w:val="00E36FA5"/>
    <w:rsid w:val="00EB6918"/>
    <w:rsid w:val="00F43081"/>
    <w:rsid w:val="00F7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3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BC0"/>
  </w:style>
  <w:style w:type="paragraph" w:styleId="Footer">
    <w:name w:val="footer"/>
    <w:basedOn w:val="Normal"/>
    <w:link w:val="FooterChar"/>
    <w:uiPriority w:val="99"/>
    <w:unhideWhenUsed/>
    <w:rsid w:val="00F73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B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3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BC0"/>
  </w:style>
  <w:style w:type="paragraph" w:styleId="Footer">
    <w:name w:val="footer"/>
    <w:basedOn w:val="Normal"/>
    <w:link w:val="FooterChar"/>
    <w:uiPriority w:val="99"/>
    <w:unhideWhenUsed/>
    <w:rsid w:val="00F73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6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6425B5-49AA-4217-9B1D-7FD1A6D80D52}"/>
</file>

<file path=customXml/itemProps2.xml><?xml version="1.0" encoding="utf-8"?>
<ds:datastoreItem xmlns:ds="http://schemas.openxmlformats.org/officeDocument/2006/customXml" ds:itemID="{AB476735-EF25-4F71-B587-00234E57B444}"/>
</file>

<file path=customXml/itemProps3.xml><?xml version="1.0" encoding="utf-8"?>
<ds:datastoreItem xmlns:ds="http://schemas.openxmlformats.org/officeDocument/2006/customXml" ds:itemID="{AD789739-FF48-4EF6-BFE4-CC8F9D784A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7</cp:revision>
  <dcterms:created xsi:type="dcterms:W3CDTF">2023-11-15T01:23:00Z</dcterms:created>
  <dcterms:modified xsi:type="dcterms:W3CDTF">2023-11-17T01:30:00Z</dcterms:modified>
</cp:coreProperties>
</file>