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8" w:type="pct"/>
        <w:tblInd w:w="-74" w:type="dxa"/>
        <w:tblLayout w:type="fixed"/>
        <w:tblLook w:val="04A0" w:firstRow="1" w:lastRow="0" w:firstColumn="1" w:lastColumn="0" w:noHBand="0" w:noVBand="1"/>
      </w:tblPr>
      <w:tblGrid>
        <w:gridCol w:w="523"/>
        <w:gridCol w:w="2615"/>
        <w:gridCol w:w="1125"/>
        <w:gridCol w:w="1182"/>
        <w:gridCol w:w="1152"/>
        <w:gridCol w:w="739"/>
        <w:gridCol w:w="1113"/>
        <w:gridCol w:w="1867"/>
        <w:gridCol w:w="842"/>
        <w:gridCol w:w="1593"/>
        <w:gridCol w:w="989"/>
        <w:gridCol w:w="630"/>
        <w:gridCol w:w="712"/>
      </w:tblGrid>
      <w:tr w:rsidR="009326A6" w:rsidRPr="009326A6" w:rsidTr="00773D8D">
        <w:trPr>
          <w:trHeight w:val="966"/>
        </w:trPr>
        <w:tc>
          <w:tcPr>
            <w:tcW w:w="5000" w:type="pct"/>
            <w:gridSpan w:val="13"/>
            <w:tcBorders>
              <w:top w:val="nil"/>
              <w:left w:val="nil"/>
              <w:right w:val="nil"/>
            </w:tcBorders>
            <w:shd w:val="clear" w:color="auto" w:fill="auto"/>
            <w:noWrap/>
            <w:hideMark/>
          </w:tcPr>
          <w:p w:rsidR="003E41FB" w:rsidRPr="009326A6" w:rsidRDefault="003E41FB" w:rsidP="006F3D99">
            <w:pPr>
              <w:spacing w:after="0" w:line="240" w:lineRule="auto"/>
              <w:jc w:val="center"/>
              <w:rPr>
                <w:rFonts w:eastAsia="Times New Roman" w:cs="Times New Roman"/>
                <w:b/>
                <w:bCs/>
                <w:sz w:val="24"/>
                <w:szCs w:val="24"/>
              </w:rPr>
            </w:pPr>
            <w:r w:rsidRPr="009326A6">
              <w:rPr>
                <w:rFonts w:eastAsia="Times New Roman" w:cs="Times New Roman"/>
                <w:b/>
                <w:bCs/>
                <w:sz w:val="24"/>
                <w:szCs w:val="24"/>
              </w:rPr>
              <w:t>CHƯƠNG TRÌNH XÚC TIẾN ĐẦU TƯ NĂM 2024 CỦA TỈNH ĐỒNG NAI</w:t>
            </w:r>
          </w:p>
          <w:p w:rsidR="003E41FB" w:rsidRPr="009326A6" w:rsidRDefault="006F3D99" w:rsidP="006F3D99">
            <w:pPr>
              <w:spacing w:after="0" w:line="240" w:lineRule="auto"/>
              <w:jc w:val="center"/>
              <w:rPr>
                <w:rFonts w:eastAsia="Times New Roman" w:cs="Times New Roman"/>
                <w:i/>
                <w:iCs/>
                <w:sz w:val="24"/>
                <w:szCs w:val="24"/>
              </w:rPr>
            </w:pPr>
            <w:r w:rsidRPr="009326A6">
              <w:rPr>
                <w:rFonts w:eastAsia="Times New Roman" w:cs="Times New Roman"/>
                <w:i/>
                <w:iCs/>
                <w:sz w:val="24"/>
                <w:szCs w:val="24"/>
              </w:rPr>
              <w:t>(Kèm theo Quyết định số 369</w:t>
            </w:r>
            <w:r w:rsidR="003E41FB" w:rsidRPr="009326A6">
              <w:rPr>
                <w:rFonts w:eastAsia="Times New Roman" w:cs="Times New Roman"/>
                <w:i/>
                <w:iCs/>
                <w:sz w:val="24"/>
                <w:szCs w:val="24"/>
              </w:rPr>
              <w:t xml:space="preserve">/QĐ-UBND ngày </w:t>
            </w:r>
            <w:r w:rsidRPr="009326A6">
              <w:rPr>
                <w:rFonts w:eastAsia="Times New Roman" w:cs="Times New Roman"/>
                <w:i/>
                <w:iCs/>
                <w:sz w:val="24"/>
                <w:szCs w:val="24"/>
              </w:rPr>
              <w:t>07</w:t>
            </w:r>
            <w:r w:rsidR="003E41FB" w:rsidRPr="009326A6">
              <w:rPr>
                <w:rFonts w:eastAsia="Times New Roman" w:cs="Times New Roman"/>
                <w:i/>
                <w:iCs/>
                <w:sz w:val="24"/>
                <w:szCs w:val="24"/>
              </w:rPr>
              <w:t xml:space="preserve"> tháng 02 năm 2024 của Ủy ban nhân dân tỉnh Đồng Nai)</w:t>
            </w:r>
          </w:p>
          <w:p w:rsidR="006F3D99" w:rsidRPr="009326A6" w:rsidRDefault="006F3D99" w:rsidP="006F3D99">
            <w:pPr>
              <w:spacing w:after="0" w:line="240" w:lineRule="auto"/>
              <w:jc w:val="center"/>
              <w:rPr>
                <w:rFonts w:eastAsia="Times New Roman" w:cs="Times New Roman"/>
                <w:sz w:val="18"/>
                <w:szCs w:val="18"/>
              </w:rPr>
            </w:pPr>
            <w:r w:rsidRPr="009326A6">
              <w:rPr>
                <w:rFonts w:eastAsia="Times New Roman" w:cs="Times New Roman"/>
                <w:noProof/>
                <w:sz w:val="18"/>
                <w:szCs w:val="18"/>
              </w:rPr>
              <mc:AlternateContent>
                <mc:Choice Requires="wps">
                  <w:drawing>
                    <wp:anchor distT="0" distB="0" distL="114300" distR="114300" simplePos="0" relativeHeight="251659264" behindDoc="0" locked="0" layoutInCell="1" allowOverlap="1" wp14:anchorId="308DEE49" wp14:editId="4FFB4574">
                      <wp:simplePos x="0" y="0"/>
                      <wp:positionH relativeFrom="column">
                        <wp:posOffset>2596515</wp:posOffset>
                      </wp:positionH>
                      <wp:positionV relativeFrom="paragraph">
                        <wp:posOffset>45720</wp:posOffset>
                      </wp:positionV>
                      <wp:extent cx="34353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343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45pt,3.6pt" to="474.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DUtwEAAMMDAAAOAAAAZHJzL2Uyb0RvYy54bWysU8GOEzEMvSPxD1HudKZbFqF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" strokecolor="#4579b8 [3044]"/>
                  </w:pict>
                </mc:Fallback>
              </mc:AlternateContent>
            </w:r>
          </w:p>
        </w:tc>
      </w:tr>
      <w:tr w:rsidR="00773D8D" w:rsidRPr="009326A6" w:rsidTr="00773D8D">
        <w:trPr>
          <w:trHeight w:val="20"/>
        </w:trPr>
        <w:tc>
          <w:tcPr>
            <w:tcW w:w="173"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867"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73"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92"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82"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45"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69"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619"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79" w:type="pct"/>
            <w:tcBorders>
              <w:top w:val="nil"/>
              <w:left w:val="nil"/>
              <w:bottom w:val="single" w:sz="4" w:space="0" w:color="auto"/>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1301" w:type="pct"/>
            <w:gridSpan w:val="4"/>
            <w:tcBorders>
              <w:top w:val="nil"/>
              <w:left w:val="nil"/>
              <w:bottom w:val="single" w:sz="4" w:space="0" w:color="auto"/>
              <w:right w:val="nil"/>
            </w:tcBorders>
            <w:shd w:val="clear" w:color="auto" w:fill="auto"/>
            <w:noWrap/>
            <w:vAlign w:val="center"/>
            <w:hideMark/>
          </w:tcPr>
          <w:p w:rsidR="003E41FB" w:rsidRPr="009326A6" w:rsidRDefault="003E41FB" w:rsidP="00CE4DFD">
            <w:pPr>
              <w:spacing w:after="40" w:line="240" w:lineRule="auto"/>
              <w:jc w:val="right"/>
              <w:rPr>
                <w:rFonts w:eastAsia="Times New Roman" w:cs="Times New Roman"/>
                <w:sz w:val="18"/>
                <w:szCs w:val="18"/>
              </w:rPr>
            </w:pPr>
            <w:r w:rsidRPr="009326A6">
              <w:rPr>
                <w:rFonts w:eastAsia="Times New Roman" w:cs="Times New Roman"/>
                <w:sz w:val="18"/>
                <w:szCs w:val="18"/>
              </w:rPr>
              <w:t>Đơn vị: chương trình XTĐT</w:t>
            </w:r>
          </w:p>
        </w:tc>
      </w:tr>
      <w:tr w:rsidR="00773D8D" w:rsidRPr="009326A6" w:rsidTr="00773D8D">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TT</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Tên hoạt động xúc tiến đầu tư</w:t>
            </w:r>
          </w:p>
        </w:tc>
        <w:bookmarkStart w:id="0" w:name="RANGE!C6"/>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fldChar w:fldCharType="begin"/>
            </w:r>
            <w:r w:rsidRPr="009326A6">
              <w:rPr>
                <w:rFonts w:eastAsia="Times New Roman" w:cs="Times New Roman"/>
                <w:b/>
                <w:bCs/>
                <w:sz w:val="18"/>
                <w:szCs w:val="18"/>
              </w:rPr>
              <w:instrText xml:space="preserve"> HYPERLINK "file:///E:\\cong%20bao\\congbao2024\\cpngbaoso14\\Excel\\phu%20luc%20CHUOPNG%20TRINH%20XUC%20TIEN%20DAU%20TU%202024%20final.xls" \l "RANGE!_ftn1" </w:instrText>
            </w:r>
            <w:r w:rsidRPr="009326A6">
              <w:rPr>
                <w:rFonts w:eastAsia="Times New Roman" w:cs="Times New Roman"/>
                <w:b/>
                <w:bCs/>
                <w:sz w:val="18"/>
                <w:szCs w:val="18"/>
              </w:rPr>
              <w:fldChar w:fldCharType="separate"/>
            </w:r>
            <w:r w:rsidRPr="009326A6">
              <w:rPr>
                <w:rFonts w:eastAsia="Times New Roman" w:cs="Times New Roman"/>
                <w:b/>
                <w:bCs/>
                <w:sz w:val="18"/>
                <w:szCs w:val="18"/>
              </w:rPr>
              <w:t>Loại hoạt động xúc tiến đầu tư[1]</w:t>
            </w:r>
            <w:r w:rsidRPr="009326A6">
              <w:rPr>
                <w:rFonts w:eastAsia="Times New Roman" w:cs="Times New Roman"/>
                <w:b/>
                <w:bCs/>
                <w:sz w:val="18"/>
                <w:szCs w:val="18"/>
              </w:rPr>
              <w:fldChar w:fldCharType="end"/>
            </w:r>
            <w:bookmarkEnd w:id="0"/>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Thời gian tổ chức</w:t>
            </w:r>
          </w:p>
        </w:tc>
        <w:bookmarkStart w:id="1" w:name="RANGE!E6"/>
        <w:tc>
          <w:tcPr>
            <w:tcW w:w="3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fldChar w:fldCharType="begin"/>
            </w:r>
            <w:r w:rsidRPr="009326A6">
              <w:rPr>
                <w:rFonts w:eastAsia="Times New Roman" w:cs="Times New Roman"/>
                <w:b/>
                <w:bCs/>
                <w:sz w:val="18"/>
                <w:szCs w:val="18"/>
              </w:rPr>
              <w:instrText xml:space="preserve"> HYPERLINK "file:///E:\\cong%20bao\\congbao2024\\cpngbaoso14\\Excel\\phu%20luc%20CHUOPNG%20TRINH%20XUC%20TIEN%20DAU%20TU%202024%20final.xls" \l "RANGE!_ftn2" </w:instrText>
            </w:r>
            <w:r w:rsidRPr="009326A6">
              <w:rPr>
                <w:rFonts w:eastAsia="Times New Roman" w:cs="Times New Roman"/>
                <w:b/>
                <w:bCs/>
                <w:sz w:val="18"/>
                <w:szCs w:val="18"/>
              </w:rPr>
              <w:fldChar w:fldCharType="separate"/>
            </w:r>
            <w:r w:rsidRPr="009326A6">
              <w:rPr>
                <w:rFonts w:eastAsia="Times New Roman" w:cs="Times New Roman"/>
                <w:b/>
                <w:bCs/>
                <w:sz w:val="18"/>
                <w:szCs w:val="18"/>
              </w:rPr>
              <w:t>Đơn vị chủ trì thực hiện[2]</w:t>
            </w:r>
            <w:r w:rsidRPr="009326A6">
              <w:rPr>
                <w:rFonts w:eastAsia="Times New Roman" w:cs="Times New Roman"/>
                <w:b/>
                <w:bCs/>
                <w:sz w:val="18"/>
                <w:szCs w:val="18"/>
              </w:rPr>
              <w:fldChar w:fldCharType="end"/>
            </w:r>
            <w:bookmarkEnd w:id="1"/>
          </w:p>
        </w:tc>
        <w:tc>
          <w:tcPr>
            <w:tcW w:w="614" w:type="pct"/>
            <w:gridSpan w:val="2"/>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Địa điểm tổ chức</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Mục đích/Nội dung của hoạt động</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Địa bàn/ tỉnh/ vùng kêu gọi đầu tư</w:t>
            </w:r>
          </w:p>
        </w:tc>
        <w:tc>
          <w:tcPr>
            <w:tcW w:w="856" w:type="pct"/>
            <w:gridSpan w:val="2"/>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Đơn vị phối hợp</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Kinh phí</w:t>
            </w:r>
          </w:p>
        </w:tc>
      </w:tr>
      <w:tr w:rsidR="009326A6" w:rsidRPr="009326A6" w:rsidTr="00773D8D">
        <w:trPr>
          <w:trHeight w:val="32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jc w:val="center"/>
              <w:rPr>
                <w:rFonts w:eastAsia="Times New Roman" w:cs="Times New Roman"/>
                <w:b/>
                <w:bCs/>
                <w:sz w:val="18"/>
                <w:szCs w:val="18"/>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Trong nước</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Nước ngoài</w:t>
            </w:r>
          </w:p>
        </w:tc>
        <w:tc>
          <w:tcPr>
            <w:tcW w:w="619"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Tên đơn vị</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Quốc tịch/Tỉnh, thành phố</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Ngân sách cấp</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Khác (tài trợ)</w:t>
            </w:r>
          </w:p>
        </w:tc>
      </w:tr>
      <w:tr w:rsidR="009326A6" w:rsidRPr="009326A6" w:rsidTr="00773D8D">
        <w:trPr>
          <w:trHeight w:val="32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jc w:val="center"/>
              <w:rPr>
                <w:rFonts w:eastAsia="Times New Roman" w:cs="Times New Roman"/>
                <w:b/>
                <w:bCs/>
                <w:sz w:val="18"/>
                <w:szCs w:val="18"/>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60" w:after="60" w:line="240" w:lineRule="auto"/>
              <w:rPr>
                <w:rFonts w:eastAsia="Times New Roman" w:cs="Times New Roman"/>
                <w:b/>
                <w:bCs/>
                <w:sz w:val="18"/>
                <w:szCs w:val="18"/>
              </w:rPr>
            </w:pPr>
          </w:p>
        </w:tc>
      </w:tr>
      <w:tr w:rsidR="009326A6" w:rsidRPr="009326A6" w:rsidTr="00773D8D">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1</w:t>
            </w:r>
          </w:p>
        </w:tc>
        <w:tc>
          <w:tcPr>
            <w:tcW w:w="867"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3</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4</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5</w:t>
            </w:r>
          </w:p>
        </w:tc>
        <w:tc>
          <w:tcPr>
            <w:tcW w:w="245"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6</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7</w:t>
            </w:r>
          </w:p>
        </w:tc>
        <w:tc>
          <w:tcPr>
            <w:tcW w:w="619"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8</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9</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10</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11</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12</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9326A6">
            <w:pPr>
              <w:spacing w:before="60" w:after="60" w:line="240" w:lineRule="auto"/>
              <w:jc w:val="center"/>
              <w:rPr>
                <w:rFonts w:eastAsia="Times New Roman" w:cs="Times New Roman"/>
                <w:b/>
                <w:bCs/>
                <w:sz w:val="18"/>
                <w:szCs w:val="18"/>
              </w:rPr>
            </w:pPr>
            <w:r w:rsidRPr="009326A6">
              <w:rPr>
                <w:rFonts w:eastAsia="Times New Roman" w:cs="Times New Roman"/>
                <w:b/>
                <w:bCs/>
                <w:sz w:val="18"/>
                <w:szCs w:val="18"/>
              </w:rPr>
              <w:t>13</w:t>
            </w:r>
          </w:p>
        </w:tc>
      </w:tr>
      <w:tr w:rsidR="009326A6" w:rsidRPr="009326A6" w:rsidTr="00773D8D">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1</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CE4DFD">
            <w:pPr>
              <w:spacing w:before="120" w:after="120" w:line="240" w:lineRule="auto"/>
              <w:jc w:val="both"/>
              <w:rPr>
                <w:rFonts w:eastAsia="Times New Roman" w:cs="Times New Roman"/>
                <w:sz w:val="18"/>
                <w:szCs w:val="18"/>
              </w:rPr>
            </w:pPr>
            <w:r w:rsidRPr="009326A6">
              <w:rPr>
                <w:rFonts w:eastAsia="Times New Roman" w:cs="Times New Roman"/>
                <w:sz w:val="18"/>
                <w:szCs w:val="18"/>
              </w:rPr>
              <w:t>Hoạt động 1: Tổng hợp, đánh giá tình hình thu hút đầu tư năm 2023, xây dựng kế hoạch thu hút đầu tư năm 2024.</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br/>
            </w:r>
            <w:r w:rsidRPr="009326A6">
              <w:rPr>
                <w:rFonts w:eastAsia="Times New Roman" w:cs="Times New Roman"/>
                <w:sz w:val="18"/>
                <w:szCs w:val="18"/>
              </w:rPr>
              <w:br/>
            </w:r>
            <w:r w:rsidRPr="009326A6">
              <w:rPr>
                <w:rFonts w:eastAsia="Times New Roman" w:cs="Times New Roman"/>
                <w:sz w:val="18"/>
                <w:szCs w:val="18"/>
              </w:rPr>
              <w:br/>
            </w:r>
            <w:r w:rsidRPr="009326A6">
              <w:rPr>
                <w:rFonts w:eastAsia="Times New Roman" w:cs="Times New Roman"/>
                <w:sz w:val="18"/>
                <w:szCs w:val="18"/>
              </w:rPr>
              <w:br/>
            </w:r>
            <w:r w:rsidRPr="009326A6">
              <w:rPr>
                <w:rFonts w:eastAsia="Times New Roman" w:cs="Times New Roman"/>
                <w:sz w:val="18"/>
                <w:szCs w:val="18"/>
              </w:rPr>
              <w:br/>
            </w:r>
            <w:r w:rsidRPr="009326A6">
              <w:rPr>
                <w:rFonts w:eastAsia="Times New Roman" w:cs="Times New Roman"/>
                <w:sz w:val="18"/>
                <w:szCs w:val="18"/>
              </w:rPr>
              <w:br/>
            </w:r>
            <w:r w:rsidRPr="009326A6">
              <w:rPr>
                <w:rFonts w:eastAsia="Times New Roman" w:cs="Times New Roman"/>
                <w:sz w:val="18"/>
                <w:szCs w:val="18"/>
              </w:rPr>
              <w:br/>
            </w:r>
            <w:r w:rsidRPr="009326A6">
              <w:rPr>
                <w:rFonts w:eastAsia="Times New Roman" w:cs="Times New Roman"/>
                <w:sz w:val="18"/>
                <w:szCs w:val="18"/>
              </w:rPr>
              <w:br/>
            </w:r>
            <w:r w:rsidRPr="009326A6">
              <w:rPr>
                <w:rFonts w:eastAsia="Times New Roman" w:cs="Times New Roman"/>
                <w:sz w:val="18"/>
                <w:szCs w:val="18"/>
              </w:rPr>
              <w:br/>
              <w:t>Nghiên cứu, đánh giá tiềm năng, thị trường, xu hướng và đối tác đầu tư</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Từ Quý IV/2023 đến tháng 01/2024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Sở Kế hoạch và Đầu tư</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Trên cơ sở kết quả thu hút đầu tư năm 2023 để đánh giá tình hình thu hút đầu tư vào các KCN, xây dựng kế hoạch thu hút đầu tư năm 2024: thu hút khoảng 1,1 tỷ USD, trong đó đầu tư mới là 500 triệu đô la Mỹ, đầu tư mở rộng là 600 triệu đô la Mỹ.</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Ban Quản lý các khu công nghiệp</w:t>
            </w:r>
            <w:r w:rsidR="00445EA9" w:rsidRPr="009326A6">
              <w:rPr>
                <w:rFonts w:eastAsia="Times New Roman" w:cs="Times New Roman"/>
                <w:sz w:val="18"/>
                <w:szCs w:val="18"/>
              </w:rPr>
              <w:t>, Sở Nông nghiệp và Phát triển n</w:t>
            </w:r>
            <w:r w:rsidRPr="009326A6">
              <w:rPr>
                <w:rFonts w:eastAsia="Times New Roman" w:cs="Times New Roman"/>
                <w:sz w:val="18"/>
                <w:szCs w:val="18"/>
              </w:rPr>
              <w:t xml:space="preserve">ông thôn, Sở Ngoại vụ, Sở Văn hóa, Thể thao và Du lịch, Ban Quản lý Khu công nghệ cao công </w:t>
            </w:r>
            <w:r w:rsidR="003F4D4D" w:rsidRPr="009326A6">
              <w:rPr>
                <w:rFonts w:eastAsia="Times New Roman" w:cs="Times New Roman"/>
                <w:sz w:val="18"/>
                <w:szCs w:val="18"/>
              </w:rPr>
              <w:t>nghệ sinh học Đồng Nai  và các s</w:t>
            </w:r>
            <w:r w:rsidRPr="009326A6">
              <w:rPr>
                <w:rFonts w:eastAsia="Times New Roman" w:cs="Times New Roman"/>
                <w:sz w:val="18"/>
                <w:szCs w:val="18"/>
              </w:rPr>
              <w:t>ở, ngành liên quan</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CE4DFD">
            <w:pPr>
              <w:spacing w:before="120" w:after="12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CE4DFD">
            <w:pPr>
              <w:spacing w:before="120" w:after="120" w:line="240" w:lineRule="auto"/>
              <w:jc w:val="both"/>
              <w:rPr>
                <w:rFonts w:eastAsia="Times New Roman" w:cs="Times New Roman"/>
                <w:sz w:val="18"/>
                <w:szCs w:val="18"/>
              </w:rPr>
            </w:pPr>
            <w:r w:rsidRPr="009326A6">
              <w:rPr>
                <w:rFonts w:eastAsia="Times New Roman" w:cs="Times New Roman"/>
                <w:sz w:val="18"/>
                <w:szCs w:val="18"/>
              </w:rPr>
              <w:t>Hoạt động 2: Đề nghị các DN trong KCN cung cấp thông tin về tình hình thực hiện dự án, kế hoạch mở rộng hoạt động sản xuất kinh doanh và thông tin về đối tác chủ yếu, nhu cầu tìm kiếm nhà cung ứng.</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CE4DFD">
            <w:pPr>
              <w:spacing w:before="120" w:after="12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Từ Quý IV/2023 đến tháng 01/2024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Ban QLKCN</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Thông qua thông tin về tình hình thực hiện dự án, kế hoạch mở rộng sản xuất kinh doanh của DN, đối tác DN tìm kiếm để xây dựng danh mục lĩnh vực, ngành nghề thu hút đầu tư phù hợp với từng địa bàn KCN; đồng thời làm</w:t>
            </w:r>
            <w:r w:rsidR="00445EA9" w:rsidRPr="009326A6">
              <w:rPr>
                <w:rFonts w:eastAsia="Times New Roman" w:cs="Times New Roman"/>
                <w:sz w:val="18"/>
                <w:szCs w:val="18"/>
              </w:rPr>
              <w:t xml:space="preserve"> cầu nối giữa các nhà cung ứng -</w:t>
            </w:r>
            <w:r w:rsidRPr="009326A6">
              <w:rPr>
                <w:rFonts w:eastAsia="Times New Roman" w:cs="Times New Roman"/>
                <w:sz w:val="18"/>
                <w:szCs w:val="18"/>
              </w:rPr>
              <w:t xml:space="preserve"> tiêu thụ để thúc đẩy công nghiệp phụ trợ, thu hút đầu tư vào các KCN.</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CE4DF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CE4DFD">
            <w:pPr>
              <w:spacing w:before="120" w:after="12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C1B91">
            <w:pPr>
              <w:spacing w:after="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340" w:after="340" w:line="240" w:lineRule="auto"/>
              <w:jc w:val="both"/>
              <w:rPr>
                <w:rFonts w:eastAsia="Times New Roman" w:cs="Times New Roman"/>
                <w:sz w:val="18"/>
                <w:szCs w:val="18"/>
              </w:rPr>
            </w:pPr>
            <w:r w:rsidRPr="009326A6">
              <w:rPr>
                <w:rFonts w:eastAsia="Times New Roman" w:cs="Times New Roman"/>
                <w:sz w:val="18"/>
                <w:szCs w:val="18"/>
              </w:rPr>
              <w:t>Hoạt động 3: Tiếp xúc trực tiếp với một số DN trong KCN và ngoài KCN.</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340" w:after="34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Từ Quý IV/2023 đến tháng 01/2024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Sở KHĐT, Ban QLKCN</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w:t>
            </w:r>
            <w:r w:rsidR="00445EA9" w:rsidRPr="009326A6">
              <w:rPr>
                <w:rFonts w:eastAsia="Times New Roman" w:cs="Times New Roman"/>
                <w:sz w:val="18"/>
                <w:szCs w:val="18"/>
              </w:rPr>
              <w:t xml:space="preserve"> </w:t>
            </w:r>
            <w:r w:rsidRPr="009326A6">
              <w:rPr>
                <w:rFonts w:eastAsia="Times New Roman" w:cs="Times New Roman"/>
                <w:sz w:val="18"/>
                <w:szCs w:val="18"/>
              </w:rPr>
              <w:t xml:space="preserve">Qua các buổi tiếp xúc, gặp gỡ cơ quan quản lý nhà nước và DN có cơ hội trao đổi thông tin, lắng nghe ý kiến vướng mắc, đề xuất của DN để kịp thời hỗ trợ, đề xuất tháo gỡ tạo điều kiện thuận lợi cho hoạt động của DN. </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7C1B91">
            <w:pPr>
              <w:spacing w:after="0" w:line="240" w:lineRule="auto"/>
              <w:jc w:val="center"/>
              <w:rPr>
                <w:rFonts w:eastAsia="Times New Roman" w:cs="Times New Roman"/>
                <w:sz w:val="18"/>
                <w:szCs w:val="18"/>
              </w:rPr>
            </w:pPr>
            <w:r w:rsidRPr="009326A6">
              <w:rPr>
                <w:rFonts w:eastAsia="Times New Roman" w:cs="Times New Roman"/>
                <w:sz w:val="18"/>
                <w:szCs w:val="18"/>
              </w:rPr>
              <w:t>2</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both"/>
              <w:rPr>
                <w:rFonts w:eastAsia="Times New Roman" w:cs="Times New Roman"/>
                <w:sz w:val="18"/>
                <w:szCs w:val="18"/>
              </w:rPr>
            </w:pPr>
            <w:r w:rsidRPr="009326A6">
              <w:rPr>
                <w:rFonts w:eastAsia="Times New Roman" w:cs="Times New Roman"/>
                <w:sz w:val="18"/>
                <w:szCs w:val="18"/>
              </w:rPr>
              <w:t>Hoạt động 1: Cập nhật thông tin về môi trường đầu tư lên website của tỉnh và đơn vị quản lý chuyên ngành</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Xây dựng hệ thống thông tin và cơ sở dữ liệu phục vụ cho hoạt động xúc tiến đầu tư</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Thường xuyên</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Sở KHĐT, Ban QLKCN</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Thường xuyên cập nhật bộ thủ tục hành chính đã được UBND tỉnh ban hành, thông tin về tình hình thu hút đầu tư, chính sách pháp luật… và VBPL có liên quan, đăng tải công khai trên website của cơ quan phục vụ nhu cầu của nhà đầu tư và doanh nghiệp cũng như kiểm soát chặt chẽ thủ tục hành chính, đảm bảo thực hiện đúng quy trình, tạo niềm tin cho doanh nghiệp, nhà đầu tư.</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C1B91">
            <w:pPr>
              <w:spacing w:after="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7C1B91" w:rsidP="00773D8D">
            <w:pPr>
              <w:spacing w:before="340" w:after="340" w:line="240" w:lineRule="auto"/>
              <w:jc w:val="both"/>
              <w:rPr>
                <w:rFonts w:eastAsia="Times New Roman" w:cs="Times New Roman"/>
                <w:sz w:val="18"/>
                <w:szCs w:val="18"/>
              </w:rPr>
            </w:pPr>
            <w:r w:rsidRPr="009326A6">
              <w:rPr>
                <w:rFonts w:eastAsia="Times New Roman" w:cs="Times New Roman"/>
                <w:sz w:val="18"/>
                <w:szCs w:val="18"/>
              </w:rPr>
              <w:t>Hoạt động 2: C</w:t>
            </w:r>
            <w:r w:rsidR="003E41FB" w:rsidRPr="009326A6">
              <w:rPr>
                <w:rFonts w:eastAsia="Times New Roman" w:cs="Times New Roman"/>
                <w:sz w:val="18"/>
                <w:szCs w:val="18"/>
              </w:rPr>
              <w:t>ập nhật thông tin dự án, thông tin doanh nghiệp lên hệ thống thông tin đăng ký doanh nghiệp quốc gia, hệ thống thông tin quốc gia về đầu tư nước ngoài</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340" w:after="34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Thường xuyên</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Sở KHĐT, Ban QLKCN</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Chuẩn hóa số liệu, thuận tiện trong công tác báo cáo, tổng hợp và hỗ trợ nhà đầu tư trong tra cứu thông tin</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340" w:after="34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340" w:after="34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lastRenderedPageBreak/>
              <w:t>3</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both"/>
              <w:rPr>
                <w:rFonts w:eastAsia="Times New Roman" w:cs="Times New Roman"/>
                <w:sz w:val="18"/>
                <w:szCs w:val="18"/>
              </w:rPr>
            </w:pPr>
            <w:r w:rsidRPr="009326A6">
              <w:rPr>
                <w:rFonts w:eastAsia="Times New Roman" w:cs="Times New Roman"/>
                <w:sz w:val="18"/>
                <w:szCs w:val="18"/>
              </w:rPr>
              <w:t>Cập nhật danh mục dự án kêu gọi đầu tư trên địa bàn tỉnh Đồng Nai</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Xây dựng danh mục dự án thu hút đầu tư</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Năm 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Sở KHĐT</w:t>
            </w:r>
          </w:p>
        </w:tc>
        <w:tc>
          <w:tcPr>
            <w:tcW w:w="245"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Nhằm phục vụ cho công tác xúc tiến đầu tư, tạo thuận lợi cho nhà đầu tư tìm hiểu về thông tin dự án.</w:t>
            </w:r>
            <w:r w:rsidRPr="009326A6">
              <w:rPr>
                <w:rFonts w:eastAsia="Times New Roman" w:cs="Times New Roman"/>
                <w:sz w:val="18"/>
                <w:szCs w:val="18"/>
              </w:rPr>
              <w:br/>
              <w:t>Phối hợp các đơn vị liên quan xây dựng danh mục dự án kêu gọi đầu tư cho tỉnh với nội dung chi tiết, thực tế trên cơ sở chiến lược phát triển kinh tế - xã hội của địa phương.</w:t>
            </w:r>
            <w:r w:rsidRPr="009326A6">
              <w:rPr>
                <w:rFonts w:eastAsia="Times New Roman" w:cs="Times New Roman"/>
                <w:sz w:val="18"/>
                <w:szCs w:val="18"/>
              </w:rPr>
              <w:br/>
              <w:t>Tổng hợp, kiến nghị UBND tỉnh xử lý những vướng mắc phát sinh trong quá trình thực hiện thu hút đầu tư theo danh mục, kịp thời tháo gỡ khó khăn cho nhà đầu tư, doanh nghiệp.</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F4D4D" w:rsidP="009326A6">
            <w:pPr>
              <w:spacing w:before="80" w:after="80" w:line="240" w:lineRule="auto"/>
              <w:rPr>
                <w:rFonts w:eastAsia="Times New Roman" w:cs="Times New Roman"/>
                <w:sz w:val="18"/>
                <w:szCs w:val="18"/>
              </w:rPr>
            </w:pPr>
            <w:r w:rsidRPr="009326A6">
              <w:rPr>
                <w:rFonts w:eastAsia="Times New Roman" w:cs="Times New Roman"/>
                <w:sz w:val="18"/>
                <w:szCs w:val="18"/>
              </w:rPr>
              <w:t>Các s</w:t>
            </w:r>
            <w:r w:rsidR="003E41FB" w:rsidRPr="009326A6">
              <w:rPr>
                <w:rFonts w:eastAsia="Times New Roman" w:cs="Times New Roman"/>
                <w:sz w:val="18"/>
                <w:szCs w:val="18"/>
              </w:rPr>
              <w:t>ở, ngành trong tỉnh và UBND các huyện</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4</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both"/>
              <w:rPr>
                <w:rFonts w:eastAsia="Times New Roman" w:cs="Times New Roman"/>
                <w:sz w:val="18"/>
                <w:szCs w:val="18"/>
              </w:rPr>
            </w:pPr>
            <w:r w:rsidRPr="009326A6">
              <w:rPr>
                <w:rFonts w:eastAsia="Times New Roman" w:cs="Times New Roman"/>
                <w:sz w:val="18"/>
                <w:szCs w:val="18"/>
              </w:rPr>
              <w:t>Hoạt động 1: Biên soạn, phiên dịch, in ấn Brochure giới thiệu tiềm năng đầu tư của tỉnh</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Xây dựng các ấn phẩm, tài liệu phục vụ cho hoạt động XTĐT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Năm 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Sở KHĐT</w:t>
            </w:r>
          </w:p>
        </w:tc>
        <w:tc>
          <w:tcPr>
            <w:tcW w:w="245"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Nhằm phục vụ cho công tác XTĐT và các buổi lãnh đạo tỉnh tiếp các đoàn doanh nghiệp</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Sở TNMT, Cục Thuế, Cục Hải quan</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80" w:after="8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both"/>
              <w:rPr>
                <w:rFonts w:eastAsia="Times New Roman" w:cs="Times New Roman"/>
                <w:sz w:val="18"/>
                <w:szCs w:val="18"/>
              </w:rPr>
            </w:pPr>
            <w:r w:rsidRPr="009326A6">
              <w:rPr>
                <w:rFonts w:eastAsia="Times New Roman" w:cs="Times New Roman"/>
                <w:sz w:val="18"/>
                <w:szCs w:val="18"/>
              </w:rPr>
              <w:t xml:space="preserve">Hoạt động 2: Hoàn thiện trang website; biên soạn, định kỳ đăng bản tin bằng tiếng Anh. </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9326A6">
            <w:pPr>
              <w:spacing w:before="80" w:after="8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Thường xuyên</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Ban QLKCN</w:t>
            </w:r>
          </w:p>
        </w:tc>
        <w:tc>
          <w:tcPr>
            <w:tcW w:w="245"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xml:space="preserve"> Tiếp tục hoàn thiện trang web; biên soạn, định kỳ đăng bản tin bằng tiếng Anh.</w:t>
            </w:r>
            <w:r w:rsidRPr="009326A6">
              <w:rPr>
                <w:rFonts w:eastAsia="Times New Roman" w:cs="Times New Roman"/>
                <w:sz w:val="18"/>
                <w:szCs w:val="18"/>
              </w:rPr>
              <w:br/>
              <w:t>Tham gia viết bài tham luận tại các Hội nghị XTĐT, các chuyên đề về tình hình thu hút đầu tư tại các KCN Đồng Nai, hoạt động XTĐT của tỉnh, quy chế phối hợp của Ban Quản lý các kh</w:t>
            </w:r>
            <w:r w:rsidR="00445EA9" w:rsidRPr="009326A6">
              <w:rPr>
                <w:rFonts w:eastAsia="Times New Roman" w:cs="Times New Roman"/>
                <w:sz w:val="18"/>
                <w:szCs w:val="18"/>
              </w:rPr>
              <w:t xml:space="preserve">u công nghiệp... đăng tải trên </w:t>
            </w:r>
            <w:r w:rsidRPr="009326A6">
              <w:rPr>
                <w:rFonts w:eastAsia="Times New Roman" w:cs="Times New Roman"/>
                <w:sz w:val="18"/>
                <w:szCs w:val="18"/>
              </w:rPr>
              <w:t>các tạp chí kinh tế…</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9326A6">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9326A6">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lastRenderedPageBreak/>
              <w:t>5</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both"/>
              <w:rPr>
                <w:rFonts w:eastAsia="Times New Roman" w:cs="Times New Roman"/>
                <w:sz w:val="18"/>
                <w:szCs w:val="18"/>
              </w:rPr>
            </w:pPr>
            <w:r w:rsidRPr="009326A6">
              <w:rPr>
                <w:rFonts w:eastAsia="Times New Roman" w:cs="Times New Roman"/>
                <w:sz w:val="18"/>
                <w:szCs w:val="18"/>
              </w:rPr>
              <w:t>Hoạt động 1: Tham gia các chương trình XTĐT nước ngoài do Bộ KHĐT và các Bộ, ngành tổ chức</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Xây dựng dựng hình ảnh, tuyên truyền, quảng bá, giới thiệu về môi trường, chính sách, tiềm năng, cơ hội và kết nối đầu tư</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Trong năm 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xml:space="preserve">Ban Quản lý các KCN, Sở KHĐT, Sở VHTT&amp;DL, Sở </w:t>
            </w:r>
            <w:r w:rsidR="00B3368E" w:rsidRPr="009326A6">
              <w:rPr>
                <w:rFonts w:eastAsia="Times New Roman" w:cs="Times New Roman"/>
                <w:sz w:val="18"/>
                <w:szCs w:val="18"/>
              </w:rPr>
              <w:t>Ngoại vu…</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Theo chương trình của Bộ KHĐT, Bộ Ngoại giao và các Bộ, ngành trung ương</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rPr>
                <w:rFonts w:eastAsia="Times New Roman" w:cs="Times New Roman"/>
                <w:sz w:val="18"/>
                <w:szCs w:val="18"/>
              </w:rPr>
            </w:pPr>
            <w:r w:rsidRPr="009326A6">
              <w:rPr>
                <w:rFonts w:eastAsia="Times New Roman" w:cs="Times New Roman"/>
                <w:sz w:val="18"/>
                <w:szCs w:val="18"/>
              </w:rPr>
              <w:t>Mở rộng thi trường, quảng bá môi trường đầu tư và tìm kiếm nhà đầu tư tiềm năng đầu tư vào tỉnh Đồng Nai</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rPr>
                <w:rFonts w:eastAsia="Times New Roman" w:cs="Times New Roman"/>
                <w:sz w:val="18"/>
                <w:szCs w:val="18"/>
              </w:rPr>
            </w:pPr>
            <w:r w:rsidRPr="009326A6">
              <w:rPr>
                <w:rFonts w:eastAsia="Times New Roman" w:cs="Times New Roman"/>
                <w:sz w:val="18"/>
                <w:szCs w:val="18"/>
              </w:rPr>
              <w:t> </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100" w:after="10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both"/>
              <w:rPr>
                <w:rFonts w:eastAsia="Times New Roman" w:cs="Times New Roman"/>
                <w:sz w:val="18"/>
                <w:szCs w:val="18"/>
              </w:rPr>
            </w:pPr>
            <w:r w:rsidRPr="009326A6">
              <w:rPr>
                <w:rFonts w:eastAsia="Times New Roman" w:cs="Times New Roman"/>
                <w:sz w:val="18"/>
                <w:szCs w:val="18"/>
              </w:rPr>
              <w:t>Hoạt động 2: Tổ chức Hội nghị giao ban doanh nghiệp trong KCN</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100" w:after="10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Quý II và quý IV/2024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Ban Quản lý các KCN</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rPr>
                <w:rFonts w:eastAsia="Times New Roman" w:cs="Times New Roman"/>
                <w:sz w:val="18"/>
                <w:szCs w:val="18"/>
              </w:rPr>
            </w:pPr>
            <w:r w:rsidRPr="009326A6">
              <w:rPr>
                <w:rFonts w:eastAsia="Times New Roman" w:cs="Times New Roman"/>
                <w:sz w:val="18"/>
                <w:szCs w:val="18"/>
              </w:rPr>
              <w:t>Thông tin chung về tình hình KCN và giải quyết các vướng mắc, kiến nghị của doanh nghiệp trong hoạt động sản xuất kinh doanh.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rPr>
                <w:rFonts w:eastAsia="Times New Roman" w:cs="Times New Roman"/>
                <w:sz w:val="18"/>
                <w:szCs w:val="18"/>
              </w:rPr>
            </w:pPr>
            <w:r w:rsidRPr="009326A6">
              <w:rPr>
                <w:rFonts w:eastAsia="Times New Roman" w:cs="Times New Roman"/>
                <w:sz w:val="18"/>
                <w:szCs w:val="18"/>
              </w:rPr>
              <w:t>Sở KHĐT, TNMT, CT, Y tế, LĐTBXH, Cục Thuế, Hải quan, Công an tỉnh…</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100" w:after="10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B3368E" w:rsidP="00773D8D">
            <w:pPr>
              <w:spacing w:before="100" w:after="100" w:line="240" w:lineRule="auto"/>
              <w:jc w:val="both"/>
              <w:rPr>
                <w:rFonts w:eastAsia="Times New Roman" w:cs="Times New Roman"/>
                <w:sz w:val="18"/>
                <w:szCs w:val="18"/>
              </w:rPr>
            </w:pPr>
            <w:r w:rsidRPr="009326A6">
              <w:rPr>
                <w:rFonts w:eastAsia="Times New Roman" w:cs="Times New Roman"/>
                <w:sz w:val="18"/>
                <w:szCs w:val="18"/>
              </w:rPr>
              <w:t>Hoạt động 3: T</w:t>
            </w:r>
            <w:r w:rsidR="003E41FB" w:rsidRPr="009326A6">
              <w:rPr>
                <w:rFonts w:eastAsia="Times New Roman" w:cs="Times New Roman"/>
                <w:sz w:val="18"/>
                <w:szCs w:val="18"/>
              </w:rPr>
              <w:t>hực hiện các hoạt động XTĐT tại chỗ như tổ chức các buổi hội nghị, làm việc với các Hiệp hội, doanh nghiệp trong và ngoài nước, th</w:t>
            </w:r>
            <w:r w:rsidRPr="009326A6">
              <w:rPr>
                <w:rFonts w:eastAsia="Times New Roman" w:cs="Times New Roman"/>
                <w:sz w:val="18"/>
                <w:szCs w:val="18"/>
              </w:rPr>
              <w:t>am gia các sự kiện, hội chợ triể</w:t>
            </w:r>
            <w:r w:rsidR="003E41FB" w:rsidRPr="009326A6">
              <w:rPr>
                <w:rFonts w:eastAsia="Times New Roman" w:cs="Times New Roman"/>
                <w:sz w:val="18"/>
                <w:szCs w:val="18"/>
              </w:rPr>
              <w:t>n lãm về du lịch ngoài tỉnh…</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100" w:after="10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Trong năm 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Sở Kế hoạch và Đầu tư, Ban Quản lý các khu công nghiệp</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rPr>
                <w:rFonts w:eastAsia="Times New Roman" w:cs="Times New Roman"/>
                <w:sz w:val="18"/>
                <w:szCs w:val="18"/>
              </w:rPr>
            </w:pPr>
            <w:r w:rsidRPr="009326A6">
              <w:rPr>
                <w:rFonts w:eastAsia="Times New Roman" w:cs="Times New Roman"/>
                <w:sz w:val="18"/>
                <w:szCs w:val="18"/>
              </w:rPr>
              <w:t>Thông tin kịp thời các nội dung liên quan đến chính sách, thủ tục đầu tư, giải quyết các vướng mắc, kiến nghị của doanh nghiệp trong hoạt động sản xuất kinh doanh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F4D4D" w:rsidP="00773D8D">
            <w:pPr>
              <w:spacing w:before="100" w:after="100" w:line="240" w:lineRule="auto"/>
              <w:rPr>
                <w:rFonts w:eastAsia="Times New Roman" w:cs="Times New Roman"/>
                <w:sz w:val="18"/>
                <w:szCs w:val="18"/>
              </w:rPr>
            </w:pPr>
            <w:r w:rsidRPr="009326A6">
              <w:rPr>
                <w:rFonts w:eastAsia="Times New Roman" w:cs="Times New Roman"/>
                <w:sz w:val="18"/>
                <w:szCs w:val="18"/>
              </w:rPr>
              <w:t>Cục Thuế, Cục Hải quan, các s</w:t>
            </w:r>
            <w:r w:rsidR="003E41FB" w:rsidRPr="009326A6">
              <w:rPr>
                <w:rFonts w:eastAsia="Times New Roman" w:cs="Times New Roman"/>
                <w:sz w:val="18"/>
                <w:szCs w:val="18"/>
              </w:rPr>
              <w:t>ở, ngành liên quan</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100" w:after="10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both"/>
              <w:rPr>
                <w:rFonts w:eastAsia="Times New Roman" w:cs="Times New Roman"/>
                <w:sz w:val="18"/>
                <w:szCs w:val="18"/>
              </w:rPr>
            </w:pPr>
            <w:r w:rsidRPr="009326A6">
              <w:rPr>
                <w:rFonts w:eastAsia="Times New Roman" w:cs="Times New Roman"/>
                <w:sz w:val="18"/>
                <w:szCs w:val="18"/>
              </w:rPr>
              <w:t>Hoạt động 4: Tổ chức hoạt động XTĐT tại Nhật Bản</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100" w:after="10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A42D97"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Quý</w:t>
            </w:r>
            <w:r w:rsidR="003E41FB" w:rsidRPr="009326A6">
              <w:rPr>
                <w:rFonts w:eastAsia="Times New Roman" w:cs="Times New Roman"/>
                <w:sz w:val="18"/>
                <w:szCs w:val="18"/>
              </w:rPr>
              <w:t xml:space="preserve"> II năm 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Ban Quản lý các khu công nghiệp</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x</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rPr>
                <w:rFonts w:eastAsia="Times New Roman" w:cs="Times New Roman"/>
                <w:sz w:val="18"/>
                <w:szCs w:val="18"/>
              </w:rPr>
            </w:pPr>
            <w:r w:rsidRPr="009326A6">
              <w:rPr>
                <w:rFonts w:eastAsia="Times New Roman" w:cs="Times New Roman"/>
                <w:sz w:val="18"/>
                <w:szCs w:val="18"/>
              </w:rPr>
              <w:t>Tổ chức hoạt động XTĐT tại Nhật Bản và làm việc với tỉnh Oita, Nhật Bản và</w:t>
            </w:r>
            <w:r w:rsidR="00445EA9" w:rsidRPr="009326A6">
              <w:rPr>
                <w:rFonts w:eastAsia="Times New Roman" w:cs="Times New Roman"/>
                <w:sz w:val="18"/>
                <w:szCs w:val="18"/>
              </w:rPr>
              <w:t xml:space="preserve"> các d</w:t>
            </w:r>
            <w:r w:rsidRPr="009326A6">
              <w:rPr>
                <w:rFonts w:eastAsia="Times New Roman" w:cs="Times New Roman"/>
                <w:sz w:val="18"/>
                <w:szCs w:val="18"/>
              </w:rPr>
              <w:t>oanh nghiệp Nhật Bản. (trong Chương trình Đoàn công tác của lãnh đạo tỉnh đi tỉnh Oita Nhật Bản tại Văn bản số 13001/UBND-THNC ngày 30/11/2023 của UBND tỉnh)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F4D4D" w:rsidP="00773D8D">
            <w:pPr>
              <w:spacing w:before="100" w:after="100" w:line="240" w:lineRule="auto"/>
              <w:rPr>
                <w:rFonts w:eastAsia="Times New Roman" w:cs="Times New Roman"/>
                <w:sz w:val="18"/>
                <w:szCs w:val="18"/>
              </w:rPr>
            </w:pPr>
            <w:r w:rsidRPr="009326A6">
              <w:rPr>
                <w:rFonts w:eastAsia="Times New Roman" w:cs="Times New Roman"/>
                <w:sz w:val="18"/>
                <w:szCs w:val="18"/>
              </w:rPr>
              <w:t>Sở KHĐT, Sở Ngoại vụ,  và các s</w:t>
            </w:r>
            <w:r w:rsidR="003E41FB" w:rsidRPr="009326A6">
              <w:rPr>
                <w:rFonts w:eastAsia="Times New Roman" w:cs="Times New Roman"/>
                <w:sz w:val="18"/>
                <w:szCs w:val="18"/>
              </w:rPr>
              <w:t>ở, ngành liên quan</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Đại sứ quán, Tổng lãnh sự quán VN tại Nhật Bản…</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xml:space="preserve">x </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100" w:after="10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773D8D">
            <w:pPr>
              <w:spacing w:before="120" w:after="120" w:line="240" w:lineRule="auto"/>
              <w:jc w:val="center"/>
              <w:rPr>
                <w:rFonts w:eastAsia="Times New Roman" w:cs="Times New Roman"/>
                <w:sz w:val="18"/>
                <w:szCs w:val="18"/>
              </w:rPr>
            </w:pPr>
            <w:r w:rsidRPr="009326A6">
              <w:rPr>
                <w:rFonts w:eastAsia="Times New Roman" w:cs="Times New Roman"/>
                <w:sz w:val="18"/>
                <w:szCs w:val="18"/>
              </w:rPr>
              <w:t>6</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20" w:after="120" w:line="240" w:lineRule="auto"/>
              <w:jc w:val="both"/>
              <w:rPr>
                <w:rFonts w:eastAsia="Times New Roman" w:cs="Times New Roman"/>
                <w:sz w:val="18"/>
                <w:szCs w:val="18"/>
              </w:rPr>
            </w:pPr>
            <w:r w:rsidRPr="009326A6">
              <w:rPr>
                <w:rFonts w:eastAsia="Times New Roman" w:cs="Times New Roman"/>
                <w:sz w:val="18"/>
                <w:szCs w:val="18"/>
              </w:rPr>
              <w:t>Hoạt động 1: Tham dự các chương trình do Bộ KHĐT và các Bộ, ngành tổ chức</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20" w:after="120" w:line="240" w:lineRule="auto"/>
              <w:jc w:val="center"/>
              <w:rPr>
                <w:rFonts w:eastAsia="Times New Roman" w:cs="Times New Roman"/>
                <w:sz w:val="18"/>
                <w:szCs w:val="18"/>
              </w:rPr>
            </w:pPr>
            <w:r w:rsidRPr="009326A6">
              <w:rPr>
                <w:rFonts w:eastAsia="Times New Roman" w:cs="Times New Roman"/>
                <w:sz w:val="18"/>
                <w:szCs w:val="18"/>
              </w:rPr>
              <w:t>Đào tạo, tập huấn, tăng cường năng lực về xúc tiến đầu tư</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20" w:after="120" w:line="240" w:lineRule="auto"/>
              <w:jc w:val="center"/>
              <w:rPr>
                <w:rFonts w:eastAsia="Times New Roman" w:cs="Times New Roman"/>
                <w:sz w:val="18"/>
                <w:szCs w:val="18"/>
              </w:rPr>
            </w:pPr>
            <w:r w:rsidRPr="009326A6">
              <w:rPr>
                <w:rFonts w:eastAsia="Times New Roman" w:cs="Times New Roman"/>
                <w:sz w:val="18"/>
                <w:szCs w:val="18"/>
              </w:rPr>
              <w:t>Thường xuyên</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20" w:after="120" w:line="240" w:lineRule="auto"/>
              <w:jc w:val="center"/>
              <w:rPr>
                <w:rFonts w:eastAsia="Times New Roman" w:cs="Times New Roman"/>
                <w:sz w:val="18"/>
                <w:szCs w:val="18"/>
              </w:rPr>
            </w:pPr>
            <w:r w:rsidRPr="009326A6">
              <w:rPr>
                <w:rFonts w:eastAsia="Times New Roman" w:cs="Times New Roman"/>
                <w:sz w:val="18"/>
                <w:szCs w:val="18"/>
              </w:rPr>
              <w:t>Ban QLKCN và Sở KHĐT</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20" w:after="120" w:line="240" w:lineRule="auto"/>
              <w:jc w:val="center"/>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120" w:after="120" w:line="240" w:lineRule="auto"/>
              <w:rPr>
                <w:rFonts w:eastAsia="Times New Roman" w:cs="Times New Roman"/>
                <w:sz w:val="18"/>
                <w:szCs w:val="18"/>
              </w:rPr>
            </w:pPr>
            <w:r w:rsidRPr="009326A6">
              <w:rPr>
                <w:rFonts w:eastAsia="Times New Roman" w:cs="Times New Roman"/>
                <w:sz w:val="18"/>
                <w:szCs w:val="18"/>
              </w:rPr>
              <w:t>Nâng cao nghiệp vụ của công chức làm công tác XTĐT</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120" w:after="12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F4D4D" w:rsidP="00773D8D">
            <w:pPr>
              <w:spacing w:before="120" w:after="120" w:line="240" w:lineRule="auto"/>
              <w:rPr>
                <w:rFonts w:eastAsia="Times New Roman" w:cs="Times New Roman"/>
                <w:sz w:val="18"/>
                <w:szCs w:val="18"/>
              </w:rPr>
            </w:pPr>
            <w:r w:rsidRPr="009326A6">
              <w:rPr>
                <w:rFonts w:eastAsia="Times New Roman" w:cs="Times New Roman"/>
                <w:sz w:val="18"/>
                <w:szCs w:val="18"/>
              </w:rPr>
              <w:t>Bộ KHĐT và các Bộ, ngành T</w:t>
            </w:r>
            <w:r w:rsidR="003E41FB" w:rsidRPr="009326A6">
              <w:rPr>
                <w:rFonts w:eastAsia="Times New Roman" w:cs="Times New Roman"/>
                <w:sz w:val="18"/>
                <w:szCs w:val="18"/>
              </w:rPr>
              <w:t>rung ương</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DC172F">
            <w:pPr>
              <w:spacing w:before="300" w:after="30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DC172F">
            <w:pPr>
              <w:spacing w:before="300" w:after="30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DC172F">
            <w:pPr>
              <w:spacing w:before="300" w:after="30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lastRenderedPageBreak/>
              <w:t>7</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both"/>
              <w:rPr>
                <w:rFonts w:eastAsia="Times New Roman" w:cs="Times New Roman"/>
                <w:sz w:val="18"/>
                <w:szCs w:val="18"/>
              </w:rPr>
            </w:pPr>
            <w:r w:rsidRPr="009326A6">
              <w:rPr>
                <w:rFonts w:eastAsia="Times New Roman" w:cs="Times New Roman"/>
                <w:sz w:val="18"/>
                <w:szCs w:val="18"/>
              </w:rPr>
              <w:t xml:space="preserve">Hoạt động 1: Gặp gỡ giữa đại diện lãnh </w:t>
            </w:r>
            <w:r w:rsidR="00B3368E" w:rsidRPr="009326A6">
              <w:rPr>
                <w:rFonts w:eastAsia="Times New Roman" w:cs="Times New Roman"/>
                <w:sz w:val="18"/>
                <w:szCs w:val="18"/>
              </w:rPr>
              <w:t>đạo tỉnh, các s</w:t>
            </w:r>
            <w:r w:rsidRPr="009326A6">
              <w:rPr>
                <w:rFonts w:eastAsia="Times New Roman" w:cs="Times New Roman"/>
                <w:sz w:val="18"/>
                <w:szCs w:val="18"/>
              </w:rPr>
              <w:t>ở</w:t>
            </w:r>
            <w:r w:rsidR="00B3368E" w:rsidRPr="009326A6">
              <w:rPr>
                <w:rFonts w:eastAsia="Times New Roman" w:cs="Times New Roman"/>
                <w:sz w:val="18"/>
                <w:szCs w:val="18"/>
              </w:rPr>
              <w:t>,</w:t>
            </w:r>
            <w:r w:rsidRPr="009326A6">
              <w:rPr>
                <w:rFonts w:eastAsia="Times New Roman" w:cs="Times New Roman"/>
                <w:sz w:val="18"/>
                <w:szCs w:val="18"/>
              </w:rPr>
              <w:t xml:space="preserve"> n</w:t>
            </w:r>
            <w:r w:rsidR="00B3368E" w:rsidRPr="009326A6">
              <w:rPr>
                <w:rFonts w:eastAsia="Times New Roman" w:cs="Times New Roman"/>
                <w:sz w:val="18"/>
                <w:szCs w:val="18"/>
              </w:rPr>
              <w:t>gành và doanh nghiệp trong tỉnh.</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Hỗ trợ, hướng dẫn, tạo thuận lợi cho hoạt động đầu tư</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Trong năm 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UBND tỉnh Đồng Nai</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Thông tin tình hình phát triển KTXH của tỉnh; phổ biến các quy định mới liên quan đến đầu tư</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Các Sở, ngành trong tỉnh</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jc w:val="center"/>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both"/>
              <w:rPr>
                <w:rFonts w:eastAsia="Times New Roman" w:cs="Times New Roman"/>
                <w:sz w:val="18"/>
                <w:szCs w:val="18"/>
              </w:rPr>
            </w:pPr>
            <w:r w:rsidRPr="009326A6">
              <w:rPr>
                <w:rFonts w:eastAsia="Times New Roman" w:cs="Times New Roman"/>
                <w:sz w:val="18"/>
                <w:szCs w:val="18"/>
              </w:rPr>
              <w:t>Hoạt động 2: Tổ chức hội nghị gặp gỡ doanh nghiệp Đài Loan, Hàn Quốc, Nhật Bản</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Trong năm 2024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Cục Hải quan</w:t>
            </w:r>
          </w:p>
        </w:tc>
        <w:tc>
          <w:tcPr>
            <w:tcW w:w="245" w:type="pct"/>
            <w:tcBorders>
              <w:top w:val="single" w:sz="4" w:space="0" w:color="auto"/>
              <w:left w:val="nil"/>
              <w:bottom w:val="single" w:sz="4" w:space="0" w:color="auto"/>
              <w:right w:val="single" w:sz="4" w:space="0" w:color="auto"/>
            </w:tcBorders>
            <w:shd w:val="clear" w:color="auto" w:fill="auto"/>
            <w:noWrap/>
            <w:vAlign w:val="bottom"/>
            <w:hideMark/>
          </w:tcPr>
          <w:p w:rsidR="003E41FB" w:rsidRPr="009326A6" w:rsidRDefault="003E41FB" w:rsidP="00773D8D">
            <w:pPr>
              <w:spacing w:before="80" w:after="80" w:line="240" w:lineRule="auto"/>
              <w:rPr>
                <w:rFonts w:ascii="Arial" w:eastAsia="Times New Roman" w:hAnsi="Arial" w:cs="Arial"/>
                <w:sz w:val="18"/>
                <w:szCs w:val="18"/>
              </w:rPr>
            </w:pPr>
            <w:r w:rsidRPr="009326A6">
              <w:rPr>
                <w:rFonts w:ascii="Arial" w:eastAsia="Times New Roman" w:hAnsi="Arial" w:cs="Arial"/>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Giải quyết khó khăn, vướng mắc của doanh nghiệp trong quá trình đầu tư tại tỉnh Đồng Nai</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Sở KH</w:t>
            </w:r>
            <w:r w:rsidR="003F4D4D" w:rsidRPr="009326A6">
              <w:rPr>
                <w:rFonts w:eastAsia="Times New Roman" w:cs="Times New Roman"/>
                <w:sz w:val="18"/>
                <w:szCs w:val="18"/>
              </w:rPr>
              <w:t>ĐT, BQL các KCN, Cục Thuế, Các s</w:t>
            </w:r>
            <w:r w:rsidRPr="009326A6">
              <w:rPr>
                <w:rFonts w:eastAsia="Times New Roman" w:cs="Times New Roman"/>
                <w:sz w:val="18"/>
                <w:szCs w:val="18"/>
              </w:rPr>
              <w:t>ở, ngành trong tỉnh</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8</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both"/>
              <w:rPr>
                <w:rFonts w:eastAsia="Times New Roman" w:cs="Times New Roman"/>
                <w:sz w:val="18"/>
                <w:szCs w:val="18"/>
              </w:rPr>
            </w:pPr>
            <w:r w:rsidRPr="009326A6">
              <w:rPr>
                <w:rFonts w:eastAsia="Times New Roman" w:cs="Times New Roman"/>
                <w:sz w:val="18"/>
                <w:szCs w:val="18"/>
              </w:rPr>
              <w:t>Hoạt động 1: Phối hợp với tổ chức Meti Kansai (Nhật Bản) về chương trình phát triển mạng lưới điều phối viên</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Hợp tác trong nước và quốc tế về XTĐT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Thường xuyên</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Ban Quản lý các KCN</w:t>
            </w:r>
          </w:p>
        </w:tc>
        <w:tc>
          <w:tcPr>
            <w:tcW w:w="245"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Hỗ trợ kết nối doanh nghiệp Nhật Bản và doanh nghiệp Việt Nam trong ngành công nghiệp hỗ trợ</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Sở KHĐT, Sở Công Thương, Hội d</w:t>
            </w:r>
            <w:r w:rsidR="003F4D4D" w:rsidRPr="009326A6">
              <w:rPr>
                <w:rFonts w:eastAsia="Times New Roman" w:cs="Times New Roman"/>
                <w:sz w:val="18"/>
                <w:szCs w:val="18"/>
              </w:rPr>
              <w:t>oanh nghiệp trẻ tỉnh Đồng Nai, T</w:t>
            </w:r>
            <w:r w:rsidRPr="009326A6">
              <w:rPr>
                <w:rFonts w:eastAsia="Times New Roman" w:cs="Times New Roman"/>
                <w:sz w:val="18"/>
                <w:szCs w:val="18"/>
              </w:rPr>
              <w:t>rường ĐH Lạc Hồng, Trường ĐH Công nghệ cao Đồng Nai</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both"/>
              <w:rPr>
                <w:rFonts w:eastAsia="Times New Roman" w:cs="Times New Roman"/>
                <w:sz w:val="18"/>
                <w:szCs w:val="18"/>
              </w:rPr>
            </w:pPr>
            <w:r w:rsidRPr="009326A6">
              <w:rPr>
                <w:rFonts w:eastAsia="Times New Roman" w:cs="Times New Roman"/>
                <w:sz w:val="18"/>
                <w:szCs w:val="18"/>
              </w:rPr>
              <w:t>Hoạt động 2:Tăng cường hoạt động của các Hội hữu nghị của tỉnh</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Hội Liên hiệp các tổ chức hữu nghị tỉnh Đồng Nai</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Tăng cường trao đổi, giao lưu kinh tế, văn hóa, khoa học kỹ thuật với các quốc gia có thế mạnh về công nghệ, tiềm năng về đầu tư</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F4D4D" w:rsidP="00773D8D">
            <w:pPr>
              <w:spacing w:before="80" w:after="80" w:line="240" w:lineRule="auto"/>
              <w:rPr>
                <w:rFonts w:eastAsia="Times New Roman" w:cs="Times New Roman"/>
                <w:sz w:val="18"/>
                <w:szCs w:val="18"/>
              </w:rPr>
            </w:pPr>
            <w:r w:rsidRPr="009326A6">
              <w:rPr>
                <w:rFonts w:eastAsia="Times New Roman" w:cs="Times New Roman"/>
                <w:sz w:val="18"/>
                <w:szCs w:val="18"/>
              </w:rPr>
              <w:t>Các s</w:t>
            </w:r>
            <w:r w:rsidR="003E41FB" w:rsidRPr="009326A6">
              <w:rPr>
                <w:rFonts w:eastAsia="Times New Roman" w:cs="Times New Roman"/>
                <w:sz w:val="18"/>
                <w:szCs w:val="18"/>
              </w:rPr>
              <w:t>ở, ngành và địa phương trong tỉnh</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both"/>
              <w:rPr>
                <w:rFonts w:eastAsia="Times New Roman" w:cs="Times New Roman"/>
                <w:sz w:val="18"/>
                <w:szCs w:val="18"/>
              </w:rPr>
            </w:pPr>
            <w:r w:rsidRPr="009326A6">
              <w:rPr>
                <w:rFonts w:eastAsia="Times New Roman" w:cs="Times New Roman"/>
                <w:sz w:val="18"/>
                <w:szCs w:val="18"/>
              </w:rPr>
              <w:t>Hoạt động 3: Phối hợp với các địa phương và xây dựng cơ chế hợp tác về xúc tiến đầu tư</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UBND tỉnh Đồng Nai</w:t>
            </w:r>
          </w:p>
        </w:tc>
        <w:tc>
          <w:tcPr>
            <w:tcW w:w="245"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Tham dự các chương trình do Bộ KHĐT và các Bộ, ngành tổ chức và phối hợp với các địa phương xây dựng cơ chế hợp tác, thúc đẩy trao đối thông tin đến các doanh nghiệp về môi trường đầu tư</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Bộ KHĐT, các cơ quan tại địa phương</w:t>
            </w:r>
          </w:p>
        </w:tc>
        <w:tc>
          <w:tcPr>
            <w:tcW w:w="328"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rPr>
                <w:rFonts w:eastAsia="Times New Roman" w:cs="Times New Roman"/>
                <w:sz w:val="18"/>
                <w:szCs w:val="18"/>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both"/>
              <w:rPr>
                <w:rFonts w:eastAsia="Times New Roman" w:cs="Times New Roman"/>
                <w:sz w:val="18"/>
                <w:szCs w:val="18"/>
              </w:rPr>
            </w:pPr>
            <w:r w:rsidRPr="009326A6">
              <w:rPr>
                <w:rFonts w:eastAsia="Times New Roman" w:cs="Times New Roman"/>
                <w:sz w:val="18"/>
                <w:szCs w:val="18"/>
              </w:rPr>
              <w:t>Hoạt động 4: Hợp tác với các tỉnh, thành trong khu vực</w:t>
            </w: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3E41FB" w:rsidRPr="009326A6" w:rsidRDefault="003E41FB" w:rsidP="00773D8D">
            <w:pPr>
              <w:spacing w:before="80" w:after="80" w:line="240" w:lineRule="auto"/>
              <w:rPr>
                <w:rFonts w:eastAsia="Times New Roman" w:cs="Times New Roman"/>
                <w:sz w:val="18"/>
                <w:szCs w:val="18"/>
              </w:rPr>
            </w:pP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UBND tỉnh Đồng Nai</w:t>
            </w:r>
          </w:p>
        </w:tc>
        <w:tc>
          <w:tcPr>
            <w:tcW w:w="245"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36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Tuyên truyền, quảng bá du lịch và mời gọi đầu tư vào Đồng Nai</w:t>
            </w:r>
          </w:p>
        </w:tc>
        <w:tc>
          <w:tcPr>
            <w:tcW w:w="279" w:type="pct"/>
            <w:tcBorders>
              <w:top w:val="single" w:sz="4" w:space="0" w:color="auto"/>
              <w:left w:val="nil"/>
              <w:bottom w:val="single" w:sz="4" w:space="0" w:color="auto"/>
              <w:right w:val="single" w:sz="4" w:space="0" w:color="auto"/>
            </w:tcBorders>
            <w:shd w:val="clear" w:color="auto" w:fill="auto"/>
            <w:vAlign w:val="bottom"/>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rPr>
                <w:rFonts w:eastAsia="Times New Roman" w:cs="Times New Roman"/>
                <w:sz w:val="18"/>
                <w:szCs w:val="18"/>
              </w:rPr>
            </w:pPr>
            <w:r w:rsidRPr="009326A6">
              <w:rPr>
                <w:rFonts w:eastAsia="Times New Roman" w:cs="Times New Roman"/>
                <w:sz w:val="18"/>
                <w:szCs w:val="18"/>
              </w:rPr>
              <w:t>Các Sở, ngành và địa phương trong tỉnh</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F4D4D"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TP</w:t>
            </w:r>
            <w:r w:rsidR="003E41FB" w:rsidRPr="009326A6">
              <w:rPr>
                <w:rFonts w:eastAsia="Times New Roman" w:cs="Times New Roman"/>
                <w:sz w:val="18"/>
                <w:szCs w:val="18"/>
              </w:rPr>
              <w:t>.HCM, các tỉnh:  Bình Dương, Tây Ninh, Lâm Đồng..</w:t>
            </w:r>
          </w:p>
        </w:tc>
        <w:tc>
          <w:tcPr>
            <w:tcW w:w="209" w:type="pct"/>
            <w:tcBorders>
              <w:top w:val="single" w:sz="4" w:space="0" w:color="auto"/>
              <w:left w:val="nil"/>
              <w:bottom w:val="single" w:sz="4" w:space="0" w:color="auto"/>
              <w:right w:val="single" w:sz="4" w:space="0" w:color="auto"/>
            </w:tcBorders>
            <w:shd w:val="clear" w:color="auto" w:fill="auto"/>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x</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3E41FB" w:rsidRPr="009326A6" w:rsidRDefault="003E41FB" w:rsidP="00773D8D">
            <w:pPr>
              <w:spacing w:before="80" w:after="80" w:line="240" w:lineRule="auto"/>
              <w:jc w:val="center"/>
              <w:rPr>
                <w:rFonts w:eastAsia="Times New Roman" w:cs="Times New Roman"/>
                <w:sz w:val="18"/>
                <w:szCs w:val="18"/>
              </w:rPr>
            </w:pPr>
            <w:r w:rsidRPr="009326A6">
              <w:rPr>
                <w:rFonts w:eastAsia="Times New Roman" w:cs="Times New Roman"/>
                <w:sz w:val="18"/>
                <w:szCs w:val="18"/>
              </w:rPr>
              <w:t> </w:t>
            </w:r>
          </w:p>
        </w:tc>
      </w:tr>
      <w:tr w:rsidR="009326A6" w:rsidRPr="009326A6" w:rsidTr="00773D8D">
        <w:trPr>
          <w:trHeight w:val="20"/>
        </w:trPr>
        <w:tc>
          <w:tcPr>
            <w:tcW w:w="1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867"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9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8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45"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6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61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7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5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0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36" w:type="pct"/>
            <w:tcBorders>
              <w:top w:val="nil"/>
              <w:left w:val="nil"/>
              <w:bottom w:val="nil"/>
              <w:right w:val="single" w:sz="4" w:space="0" w:color="auto"/>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r w:rsidRPr="009326A6">
              <w:rPr>
                <w:rFonts w:ascii="Arial" w:eastAsia="Times New Roman" w:hAnsi="Arial" w:cs="Arial"/>
                <w:sz w:val="18"/>
                <w:szCs w:val="18"/>
              </w:rPr>
              <w:t> </w:t>
            </w:r>
          </w:p>
        </w:tc>
      </w:tr>
      <w:tr w:rsidR="009326A6" w:rsidRPr="009326A6" w:rsidTr="00773D8D">
        <w:trPr>
          <w:trHeight w:val="253"/>
        </w:trPr>
        <w:tc>
          <w:tcPr>
            <w:tcW w:w="5000" w:type="pct"/>
            <w:gridSpan w:val="13"/>
            <w:vMerge w:val="restart"/>
            <w:tcBorders>
              <w:top w:val="nil"/>
              <w:left w:val="nil"/>
              <w:bottom w:val="nil"/>
              <w:right w:val="nil"/>
            </w:tcBorders>
            <w:shd w:val="clear" w:color="auto" w:fill="auto"/>
            <w:hideMark/>
          </w:tcPr>
          <w:p w:rsidR="003E41FB" w:rsidRPr="00444F38" w:rsidRDefault="003E41FB" w:rsidP="003E41FB">
            <w:pPr>
              <w:spacing w:after="0" w:line="240" w:lineRule="auto"/>
              <w:rPr>
                <w:rFonts w:eastAsia="Times New Roman" w:cs="Times New Roman"/>
                <w:i/>
                <w:iCs/>
                <w:sz w:val="20"/>
                <w:szCs w:val="20"/>
              </w:rPr>
            </w:pPr>
            <w:r w:rsidRPr="00444F38">
              <w:rPr>
                <w:rFonts w:eastAsia="Times New Roman" w:cs="Times New Roman"/>
                <w:i/>
                <w:iCs/>
                <w:sz w:val="20"/>
                <w:szCs w:val="20"/>
              </w:rPr>
              <w:t>Lưu ý: Tùy theo tình hình diễn biến dịch bệnh Covid thời gian tổ chức các hoạt động trong Chương trình XTĐT năm 2024 sẽ được điều chỉnh cho phù hợp tình hình thực tế.</w:t>
            </w:r>
          </w:p>
        </w:tc>
      </w:tr>
      <w:tr w:rsidR="009326A6" w:rsidRPr="009326A6" w:rsidTr="00444F38">
        <w:trPr>
          <w:trHeight w:val="207"/>
        </w:trPr>
        <w:tc>
          <w:tcPr>
            <w:tcW w:w="5000" w:type="pct"/>
            <w:gridSpan w:val="13"/>
            <w:vMerge/>
            <w:tcBorders>
              <w:top w:val="nil"/>
              <w:left w:val="nil"/>
              <w:bottom w:val="nil"/>
              <w:right w:val="nil"/>
            </w:tcBorders>
            <w:vAlign w:val="center"/>
            <w:hideMark/>
          </w:tcPr>
          <w:p w:rsidR="003E41FB" w:rsidRPr="009326A6" w:rsidRDefault="003E41FB" w:rsidP="003E41FB">
            <w:pPr>
              <w:spacing w:after="0" w:line="240" w:lineRule="auto"/>
              <w:rPr>
                <w:rFonts w:eastAsia="Times New Roman" w:cs="Times New Roman"/>
                <w:i/>
                <w:iCs/>
                <w:sz w:val="18"/>
                <w:szCs w:val="18"/>
              </w:rPr>
            </w:pPr>
          </w:p>
        </w:tc>
      </w:tr>
      <w:tr w:rsidR="009326A6" w:rsidRPr="009326A6" w:rsidTr="00773D8D">
        <w:trPr>
          <w:trHeight w:val="20"/>
        </w:trPr>
        <w:tc>
          <w:tcPr>
            <w:tcW w:w="1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867"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9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8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45"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6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619" w:type="pct"/>
            <w:tcBorders>
              <w:top w:val="nil"/>
              <w:left w:val="nil"/>
              <w:bottom w:val="nil"/>
              <w:right w:val="nil"/>
            </w:tcBorders>
            <w:shd w:val="clear" w:color="auto" w:fill="auto"/>
            <w:noWrap/>
            <w:vAlign w:val="center"/>
            <w:hideMark/>
          </w:tcPr>
          <w:p w:rsidR="003E41FB" w:rsidRPr="009326A6" w:rsidRDefault="003E41FB" w:rsidP="003E41FB">
            <w:pPr>
              <w:spacing w:after="0" w:line="240" w:lineRule="auto"/>
              <w:jc w:val="both"/>
              <w:rPr>
                <w:rFonts w:ascii="Arial" w:eastAsia="Times New Roman" w:hAnsi="Arial" w:cs="Arial"/>
                <w:i/>
                <w:iCs/>
                <w:sz w:val="18"/>
                <w:szCs w:val="18"/>
              </w:rPr>
            </w:pPr>
          </w:p>
        </w:tc>
        <w:tc>
          <w:tcPr>
            <w:tcW w:w="27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5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0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36"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r>
      <w:tr w:rsidR="009326A6" w:rsidRPr="009326A6" w:rsidTr="00773D8D">
        <w:trPr>
          <w:trHeight w:val="20"/>
        </w:trPr>
        <w:tc>
          <w:tcPr>
            <w:tcW w:w="1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867"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9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8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45"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6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619" w:type="pct"/>
            <w:tcBorders>
              <w:top w:val="nil"/>
              <w:left w:val="nil"/>
              <w:bottom w:val="nil"/>
              <w:right w:val="nil"/>
            </w:tcBorders>
            <w:shd w:val="clear" w:color="auto" w:fill="auto"/>
            <w:noWrap/>
            <w:vAlign w:val="center"/>
            <w:hideMark/>
          </w:tcPr>
          <w:p w:rsidR="003E41FB" w:rsidRPr="009326A6" w:rsidRDefault="003E41FB" w:rsidP="003E41FB">
            <w:pPr>
              <w:spacing w:after="0" w:line="240" w:lineRule="auto"/>
              <w:jc w:val="center"/>
              <w:rPr>
                <w:rFonts w:ascii="Arial" w:eastAsia="Times New Roman" w:hAnsi="Arial" w:cs="Arial"/>
                <w:b/>
                <w:bCs/>
                <w:sz w:val="18"/>
                <w:szCs w:val="18"/>
              </w:rPr>
            </w:pPr>
          </w:p>
        </w:tc>
        <w:tc>
          <w:tcPr>
            <w:tcW w:w="27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5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0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36"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r>
      <w:tr w:rsidR="009326A6" w:rsidRPr="009326A6" w:rsidTr="00773D8D">
        <w:trPr>
          <w:trHeight w:val="20"/>
        </w:trPr>
        <w:tc>
          <w:tcPr>
            <w:tcW w:w="1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867"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9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8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45"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6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61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jc w:val="center"/>
              <w:rPr>
                <w:rFonts w:ascii="Arial" w:eastAsia="Times New Roman" w:hAnsi="Arial" w:cs="Arial"/>
                <w:i/>
                <w:iCs/>
                <w:sz w:val="18"/>
                <w:szCs w:val="18"/>
              </w:rPr>
            </w:pPr>
          </w:p>
        </w:tc>
        <w:tc>
          <w:tcPr>
            <w:tcW w:w="27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5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3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0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c>
          <w:tcPr>
            <w:tcW w:w="236"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ascii="Arial" w:eastAsia="Times New Roman" w:hAnsi="Arial" w:cs="Arial"/>
                <w:sz w:val="18"/>
                <w:szCs w:val="18"/>
              </w:rPr>
            </w:pPr>
          </w:p>
        </w:tc>
      </w:tr>
      <w:tr w:rsidR="009326A6" w:rsidRPr="009326A6" w:rsidTr="00773D8D">
        <w:trPr>
          <w:trHeight w:val="20"/>
        </w:trPr>
        <w:tc>
          <w:tcPr>
            <w:tcW w:w="1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867"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9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8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45"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6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61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7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5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09" w:type="pct"/>
            <w:tcBorders>
              <w:top w:val="nil"/>
              <w:left w:val="nil"/>
              <w:bottom w:val="nil"/>
              <w:right w:val="nil"/>
            </w:tcBorders>
            <w:shd w:val="clear" w:color="auto" w:fill="auto"/>
            <w:noWrap/>
            <w:vAlign w:val="center"/>
            <w:hideMark/>
          </w:tcPr>
          <w:p w:rsidR="003E41FB" w:rsidRPr="009326A6" w:rsidRDefault="003E41FB" w:rsidP="003E41FB">
            <w:pPr>
              <w:spacing w:after="0" w:line="240" w:lineRule="auto"/>
              <w:jc w:val="center"/>
              <w:rPr>
                <w:rFonts w:eastAsia="Times New Roman" w:cs="Times New Roman"/>
                <w:sz w:val="18"/>
                <w:szCs w:val="18"/>
              </w:rPr>
            </w:pPr>
          </w:p>
        </w:tc>
        <w:tc>
          <w:tcPr>
            <w:tcW w:w="236" w:type="pct"/>
            <w:tcBorders>
              <w:top w:val="nil"/>
              <w:left w:val="nil"/>
              <w:bottom w:val="nil"/>
              <w:right w:val="nil"/>
            </w:tcBorders>
            <w:shd w:val="clear" w:color="auto" w:fill="auto"/>
            <w:noWrap/>
            <w:vAlign w:val="center"/>
            <w:hideMark/>
          </w:tcPr>
          <w:p w:rsidR="003E41FB" w:rsidRPr="009326A6" w:rsidRDefault="003E41FB" w:rsidP="003E41FB">
            <w:pPr>
              <w:spacing w:after="0" w:line="240" w:lineRule="auto"/>
              <w:jc w:val="center"/>
              <w:rPr>
                <w:rFonts w:eastAsia="Times New Roman" w:cs="Times New Roman"/>
                <w:sz w:val="18"/>
                <w:szCs w:val="18"/>
              </w:rPr>
            </w:pPr>
          </w:p>
        </w:tc>
      </w:tr>
      <w:tr w:rsidR="009326A6" w:rsidRPr="009326A6" w:rsidTr="00773D8D">
        <w:trPr>
          <w:trHeight w:val="20"/>
        </w:trPr>
        <w:tc>
          <w:tcPr>
            <w:tcW w:w="1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4827" w:type="pct"/>
            <w:gridSpan w:val="12"/>
            <w:tcBorders>
              <w:top w:val="nil"/>
              <w:left w:val="nil"/>
              <w:bottom w:val="nil"/>
              <w:right w:val="nil"/>
            </w:tcBorders>
            <w:shd w:val="clear" w:color="auto" w:fill="auto"/>
            <w:noWrap/>
            <w:vAlign w:val="center"/>
            <w:hideMark/>
          </w:tcPr>
          <w:p w:rsidR="003E41FB" w:rsidRPr="009326A6" w:rsidRDefault="003E41FB" w:rsidP="003E41FB">
            <w:pPr>
              <w:spacing w:after="0" w:line="240" w:lineRule="auto"/>
              <w:jc w:val="both"/>
              <w:rPr>
                <w:rFonts w:eastAsia="Times New Roman" w:cs="Times New Roman"/>
                <w:sz w:val="18"/>
                <w:szCs w:val="18"/>
              </w:rPr>
            </w:pPr>
            <w:r w:rsidRPr="009326A6">
              <w:rPr>
                <w:rFonts w:eastAsia="Times New Roman" w:cs="Times New Roman"/>
                <w:sz w:val="18"/>
                <w:szCs w:val="18"/>
                <w:vertAlign w:val="superscript"/>
              </w:rPr>
              <w:t>[1]</w:t>
            </w:r>
            <w:r w:rsidRPr="009326A6">
              <w:rPr>
                <w:rFonts w:eastAsia="Times New Roman" w:cs="Times New Roman"/>
                <w:sz w:val="18"/>
                <w:szCs w:val="18"/>
              </w:rPr>
              <w:t xml:space="preserve"> Nội dung hoạt động quy định tại Điều 88, Nghị định số 31/2021/NĐ-CP ngày 26/3/2021</w:t>
            </w:r>
          </w:p>
        </w:tc>
      </w:tr>
      <w:tr w:rsidR="00773D8D" w:rsidRPr="009326A6" w:rsidTr="00773D8D">
        <w:trPr>
          <w:trHeight w:val="20"/>
        </w:trPr>
        <w:tc>
          <w:tcPr>
            <w:tcW w:w="173"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1632" w:type="pct"/>
            <w:gridSpan w:val="3"/>
            <w:tcBorders>
              <w:top w:val="nil"/>
              <w:left w:val="nil"/>
              <w:bottom w:val="nil"/>
              <w:right w:val="nil"/>
            </w:tcBorders>
            <w:shd w:val="clear" w:color="auto" w:fill="auto"/>
            <w:noWrap/>
            <w:vAlign w:val="center"/>
            <w:hideMark/>
          </w:tcPr>
          <w:p w:rsidR="003E41FB" w:rsidRPr="009326A6" w:rsidRDefault="003E41FB" w:rsidP="003E41FB">
            <w:pPr>
              <w:spacing w:after="0" w:line="240" w:lineRule="auto"/>
              <w:rPr>
                <w:rFonts w:eastAsia="Times New Roman" w:cs="Times New Roman"/>
                <w:sz w:val="18"/>
                <w:szCs w:val="18"/>
              </w:rPr>
            </w:pPr>
            <w:r w:rsidRPr="009326A6">
              <w:rPr>
                <w:rFonts w:eastAsia="Times New Roman" w:cs="Times New Roman"/>
                <w:sz w:val="18"/>
                <w:szCs w:val="18"/>
                <w:vertAlign w:val="superscript"/>
              </w:rPr>
              <w:t>[2]</w:t>
            </w:r>
            <w:r w:rsidRPr="009326A6">
              <w:rPr>
                <w:rFonts w:eastAsia="Times New Roman" w:cs="Times New Roman"/>
                <w:sz w:val="18"/>
                <w:szCs w:val="18"/>
              </w:rPr>
              <w:t xml:space="preserve"> Đơn vị chủ trì thực hiện hoạt động xúc tiến đầu tư tại Cột 2</w:t>
            </w:r>
          </w:p>
        </w:tc>
        <w:tc>
          <w:tcPr>
            <w:tcW w:w="382"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45"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6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61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79"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5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328" w:type="pct"/>
            <w:tcBorders>
              <w:top w:val="nil"/>
              <w:left w:val="nil"/>
              <w:bottom w:val="nil"/>
              <w:right w:val="nil"/>
            </w:tcBorders>
            <w:shd w:val="clear" w:color="auto" w:fill="auto"/>
            <w:noWrap/>
            <w:vAlign w:val="bottom"/>
            <w:hideMark/>
          </w:tcPr>
          <w:p w:rsidR="003E41FB" w:rsidRPr="009326A6" w:rsidRDefault="003E41FB" w:rsidP="003E41FB">
            <w:pPr>
              <w:spacing w:after="0" w:line="240" w:lineRule="auto"/>
              <w:rPr>
                <w:rFonts w:eastAsia="Times New Roman" w:cs="Times New Roman"/>
                <w:sz w:val="18"/>
                <w:szCs w:val="18"/>
              </w:rPr>
            </w:pPr>
          </w:p>
        </w:tc>
        <w:tc>
          <w:tcPr>
            <w:tcW w:w="209" w:type="pct"/>
            <w:tcBorders>
              <w:top w:val="nil"/>
              <w:left w:val="nil"/>
              <w:bottom w:val="nil"/>
              <w:right w:val="nil"/>
            </w:tcBorders>
            <w:shd w:val="clear" w:color="auto" w:fill="auto"/>
            <w:noWrap/>
            <w:vAlign w:val="center"/>
            <w:hideMark/>
          </w:tcPr>
          <w:p w:rsidR="003E41FB" w:rsidRPr="009326A6" w:rsidRDefault="003E41FB" w:rsidP="003E41FB">
            <w:pPr>
              <w:spacing w:after="0" w:line="240" w:lineRule="auto"/>
              <w:jc w:val="center"/>
              <w:rPr>
                <w:rFonts w:eastAsia="Times New Roman" w:cs="Times New Roman"/>
                <w:sz w:val="18"/>
                <w:szCs w:val="18"/>
              </w:rPr>
            </w:pPr>
          </w:p>
        </w:tc>
        <w:tc>
          <w:tcPr>
            <w:tcW w:w="236" w:type="pct"/>
            <w:tcBorders>
              <w:top w:val="nil"/>
              <w:left w:val="nil"/>
              <w:bottom w:val="nil"/>
              <w:right w:val="nil"/>
            </w:tcBorders>
            <w:shd w:val="clear" w:color="auto" w:fill="auto"/>
            <w:noWrap/>
            <w:vAlign w:val="center"/>
            <w:hideMark/>
          </w:tcPr>
          <w:p w:rsidR="003E41FB" w:rsidRPr="009326A6" w:rsidRDefault="003E41FB" w:rsidP="003E41FB">
            <w:pPr>
              <w:spacing w:after="0" w:line="240" w:lineRule="auto"/>
              <w:jc w:val="center"/>
              <w:rPr>
                <w:rFonts w:eastAsia="Times New Roman" w:cs="Times New Roman"/>
                <w:sz w:val="18"/>
                <w:szCs w:val="18"/>
              </w:rPr>
            </w:pPr>
          </w:p>
        </w:tc>
      </w:tr>
    </w:tbl>
    <w:p w:rsidR="00F43081" w:rsidRPr="009326A6" w:rsidRDefault="00F43081" w:rsidP="003E41FB">
      <w:bookmarkStart w:id="2" w:name="_GoBack"/>
      <w:bookmarkEnd w:id="2"/>
    </w:p>
    <w:sectPr w:rsidR="00F43081" w:rsidRPr="009326A6" w:rsidSect="000910D5">
      <w:pgSz w:w="16840" w:h="11907" w:orient="landscape" w:code="9"/>
      <w:pgMar w:top="1134" w:right="96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B7" w:rsidRDefault="00F063B7" w:rsidP="006F3D99">
      <w:pPr>
        <w:spacing w:after="0" w:line="240" w:lineRule="auto"/>
      </w:pPr>
      <w:r>
        <w:separator/>
      </w:r>
    </w:p>
  </w:endnote>
  <w:endnote w:type="continuationSeparator" w:id="0">
    <w:p w:rsidR="00F063B7" w:rsidRDefault="00F063B7" w:rsidP="006F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B7" w:rsidRDefault="00F063B7" w:rsidP="006F3D99">
      <w:pPr>
        <w:spacing w:after="0" w:line="240" w:lineRule="auto"/>
      </w:pPr>
      <w:r>
        <w:separator/>
      </w:r>
    </w:p>
  </w:footnote>
  <w:footnote w:type="continuationSeparator" w:id="0">
    <w:p w:rsidR="00F063B7" w:rsidRDefault="00F063B7" w:rsidP="006F3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D5"/>
    <w:rsid w:val="000910D5"/>
    <w:rsid w:val="001333CC"/>
    <w:rsid w:val="001673B9"/>
    <w:rsid w:val="003E41FB"/>
    <w:rsid w:val="003F4D4D"/>
    <w:rsid w:val="00444F38"/>
    <w:rsid w:val="00445EA9"/>
    <w:rsid w:val="00586AE7"/>
    <w:rsid w:val="006F3D99"/>
    <w:rsid w:val="00773D8D"/>
    <w:rsid w:val="007C1B91"/>
    <w:rsid w:val="009326A6"/>
    <w:rsid w:val="00A42D97"/>
    <w:rsid w:val="00A86397"/>
    <w:rsid w:val="00B20D0E"/>
    <w:rsid w:val="00B3368E"/>
    <w:rsid w:val="00CE4DFD"/>
    <w:rsid w:val="00DA75F2"/>
    <w:rsid w:val="00DB6D82"/>
    <w:rsid w:val="00DC172F"/>
    <w:rsid w:val="00E44B42"/>
    <w:rsid w:val="00F063B7"/>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0D5"/>
    <w:rPr>
      <w:color w:val="0000FF"/>
      <w:u w:val="single"/>
    </w:rPr>
  </w:style>
  <w:style w:type="table" w:styleId="TableGrid">
    <w:name w:val="Table Grid"/>
    <w:basedOn w:val="TableNormal"/>
    <w:uiPriority w:val="59"/>
    <w:rsid w:val="0009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D99"/>
  </w:style>
  <w:style w:type="paragraph" w:styleId="Footer">
    <w:name w:val="footer"/>
    <w:basedOn w:val="Normal"/>
    <w:link w:val="FooterChar"/>
    <w:uiPriority w:val="99"/>
    <w:unhideWhenUsed/>
    <w:rsid w:val="006F3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D99"/>
  </w:style>
  <w:style w:type="paragraph" w:styleId="BalloonText">
    <w:name w:val="Balloon Text"/>
    <w:basedOn w:val="Normal"/>
    <w:link w:val="BalloonTextChar"/>
    <w:uiPriority w:val="99"/>
    <w:semiHidden/>
    <w:unhideWhenUsed/>
    <w:rsid w:val="007C1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0D5"/>
    <w:rPr>
      <w:color w:val="0000FF"/>
      <w:u w:val="single"/>
    </w:rPr>
  </w:style>
  <w:style w:type="table" w:styleId="TableGrid">
    <w:name w:val="Table Grid"/>
    <w:basedOn w:val="TableNormal"/>
    <w:uiPriority w:val="59"/>
    <w:rsid w:val="0009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D99"/>
  </w:style>
  <w:style w:type="paragraph" w:styleId="Footer">
    <w:name w:val="footer"/>
    <w:basedOn w:val="Normal"/>
    <w:link w:val="FooterChar"/>
    <w:uiPriority w:val="99"/>
    <w:unhideWhenUsed/>
    <w:rsid w:val="006F3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D99"/>
  </w:style>
  <w:style w:type="paragraph" w:styleId="BalloonText">
    <w:name w:val="Balloon Text"/>
    <w:basedOn w:val="Normal"/>
    <w:link w:val="BalloonTextChar"/>
    <w:uiPriority w:val="99"/>
    <w:semiHidden/>
    <w:unhideWhenUsed/>
    <w:rsid w:val="007C1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403567">
      <w:bodyDiv w:val="1"/>
      <w:marLeft w:val="0"/>
      <w:marRight w:val="0"/>
      <w:marTop w:val="0"/>
      <w:marBottom w:val="0"/>
      <w:divBdr>
        <w:top w:val="none" w:sz="0" w:space="0" w:color="auto"/>
        <w:left w:val="none" w:sz="0" w:space="0" w:color="auto"/>
        <w:bottom w:val="none" w:sz="0" w:space="0" w:color="auto"/>
        <w:right w:val="none" w:sz="0" w:space="0" w:color="auto"/>
      </w:divBdr>
    </w:div>
    <w:div w:id="16401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61EEB-160E-4132-8A2F-A7D1FB4D87C6}"/>
</file>

<file path=customXml/itemProps2.xml><?xml version="1.0" encoding="utf-8"?>
<ds:datastoreItem xmlns:ds="http://schemas.openxmlformats.org/officeDocument/2006/customXml" ds:itemID="{9164E82A-4E72-42FB-8610-8BBB284D7626}"/>
</file>

<file path=customXml/itemProps3.xml><?xml version="1.0" encoding="utf-8"?>
<ds:datastoreItem xmlns:ds="http://schemas.openxmlformats.org/officeDocument/2006/customXml" ds:itemID="{326B4C25-D446-4369-B8E2-CA0AECEE55C9}"/>
</file>

<file path=docProps/app.xml><?xml version="1.0" encoding="utf-8"?>
<Properties xmlns="http://schemas.openxmlformats.org/officeDocument/2006/extended-properties" xmlns:vt="http://schemas.openxmlformats.org/officeDocument/2006/docPropsVTypes">
  <Template>Normal</Template>
  <TotalTime>99</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13</cp:revision>
  <cp:lastPrinted>2024-03-27T00:36:00Z</cp:lastPrinted>
  <dcterms:created xsi:type="dcterms:W3CDTF">2024-03-22T08:12:00Z</dcterms:created>
  <dcterms:modified xsi:type="dcterms:W3CDTF">2024-03-28T01:04:00Z</dcterms:modified>
</cp:coreProperties>
</file>