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6"/>
      </w:tblGrid>
      <w:tr w:rsidR="00D83232" w:rsidRPr="00DD278C" w14:paraId="4978C003" w14:textId="77777777" w:rsidTr="005E7E10">
        <w:trPr>
          <w:trHeight w:val="1021"/>
        </w:trPr>
        <w:tc>
          <w:tcPr>
            <w:tcW w:w="1544" w:type="pct"/>
            <w:hideMark/>
          </w:tcPr>
          <w:p w14:paraId="2C58F4DA" w14:textId="77777777" w:rsidR="00D83232" w:rsidRPr="00DD278C" w:rsidRDefault="00D83232" w:rsidP="005E7E10">
            <w:pPr>
              <w:autoSpaceDN w:val="0"/>
              <w:spacing w:after="0" w:line="240" w:lineRule="auto"/>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6BB61C85" w14:textId="77777777" w:rsidR="00D83232" w:rsidRPr="00DD278C" w:rsidRDefault="00D83232" w:rsidP="005E7E10">
            <w:pPr>
              <w:autoSpaceDN w:val="0"/>
              <w:spacing w:after="0" w:line="240" w:lineRule="auto"/>
              <w:jc w:val="center"/>
              <w:rPr>
                <w:rFonts w:eastAsia="PMingLiU"/>
                <w:b/>
                <w:sz w:val="26"/>
                <w:szCs w:val="26"/>
                <w:lang w:val="vi-VN"/>
              </w:rPr>
            </w:pPr>
            <w:r w:rsidRPr="00DD278C">
              <w:rPr>
                <w:rFonts w:eastAsia="Times New Roman"/>
                <w:noProof/>
                <w:sz w:val="24"/>
                <w:szCs w:val="24"/>
              </w:rPr>
              <mc:AlternateContent>
                <mc:Choice Requires="wps">
                  <w:drawing>
                    <wp:anchor distT="4294967225" distB="4294967225" distL="114300" distR="114300" simplePos="0" relativeHeight="251657216" behindDoc="0" locked="0" layoutInCell="1" allowOverlap="1" wp14:anchorId="2A5FBB74" wp14:editId="35A70837">
                      <wp:simplePos x="0" y="0"/>
                      <wp:positionH relativeFrom="column">
                        <wp:posOffset>581660</wp:posOffset>
                      </wp:positionH>
                      <wp:positionV relativeFrom="paragraph">
                        <wp:posOffset>220979</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BCB1F" id="Straight Connector 2" o:spid="_x0000_s1026" style="position:absolute;z-index:25165721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447113ED" w14:textId="77777777" w:rsidR="00D83232" w:rsidRPr="00DD278C" w:rsidRDefault="00D83232" w:rsidP="005E7E10">
            <w:pPr>
              <w:autoSpaceDN w:val="0"/>
              <w:spacing w:after="0" w:line="240" w:lineRule="auto"/>
              <w:jc w:val="center"/>
              <w:rPr>
                <w:rFonts w:eastAsia="PMingLiU"/>
                <w:b/>
                <w:sz w:val="26"/>
                <w:szCs w:val="26"/>
                <w:lang w:val="vi-VN"/>
              </w:rPr>
            </w:pPr>
          </w:p>
          <w:p w14:paraId="41163D72" w14:textId="77777777" w:rsidR="00D83232" w:rsidRPr="00DD278C" w:rsidRDefault="00D83232" w:rsidP="005E7E10">
            <w:pPr>
              <w:autoSpaceDN w:val="0"/>
              <w:spacing w:after="0" w:line="240" w:lineRule="auto"/>
              <w:jc w:val="center"/>
              <w:rPr>
                <w:rFonts w:eastAsia="PMingLiU"/>
                <w:lang w:val="vi-VN"/>
              </w:rPr>
            </w:pPr>
          </w:p>
        </w:tc>
        <w:tc>
          <w:tcPr>
            <w:tcW w:w="2941" w:type="pct"/>
            <w:hideMark/>
          </w:tcPr>
          <w:p w14:paraId="0D4009CC" w14:textId="77777777" w:rsidR="00D83232" w:rsidRPr="00DD278C" w:rsidRDefault="00D83232" w:rsidP="005E7E10">
            <w:pPr>
              <w:autoSpaceDN w:val="0"/>
              <w:spacing w:after="0" w:line="240" w:lineRule="auto"/>
              <w:jc w:val="center"/>
              <w:rPr>
                <w:rFonts w:eastAsia="PMingLiU"/>
                <w:b/>
                <w:sz w:val="26"/>
                <w:szCs w:val="26"/>
                <w:lang w:val="vi-VN"/>
              </w:rPr>
            </w:pPr>
            <w:r w:rsidRPr="00DD278C">
              <w:rPr>
                <w:rFonts w:eastAsia="PMingLiU"/>
                <w:b/>
                <w:sz w:val="26"/>
                <w:szCs w:val="26"/>
                <w:lang w:val="vi-VN"/>
              </w:rPr>
              <w:t>CỘNG HÒA XÃ HỘI CHỦ NGHĨA VIỆT NAM</w:t>
            </w:r>
          </w:p>
          <w:p w14:paraId="6CC4803E" w14:textId="77777777" w:rsidR="00D83232" w:rsidRPr="00DD278C" w:rsidRDefault="00D83232" w:rsidP="005E7E10">
            <w:pPr>
              <w:autoSpaceDN w:val="0"/>
              <w:spacing w:after="0" w:line="240" w:lineRule="auto"/>
              <w:jc w:val="center"/>
              <w:rPr>
                <w:rFonts w:eastAsia="PMingLiU"/>
                <w:lang w:val="vi-VN"/>
              </w:rPr>
            </w:pPr>
            <w:r w:rsidRPr="00DD278C">
              <w:rPr>
                <w:rFonts w:eastAsia="Times New Roman"/>
                <w:noProof/>
                <w:sz w:val="24"/>
                <w:szCs w:val="24"/>
              </w:rPr>
              <mc:AlternateContent>
                <mc:Choice Requires="wps">
                  <w:drawing>
                    <wp:anchor distT="4294967226" distB="4294967226" distL="114300" distR="114300" simplePos="0" relativeHeight="251659264" behindDoc="0" locked="0" layoutInCell="1" allowOverlap="1" wp14:anchorId="63F2ECDC" wp14:editId="7975ADAD">
                      <wp:simplePos x="0" y="0"/>
                      <wp:positionH relativeFrom="column">
                        <wp:posOffset>696595</wp:posOffset>
                      </wp:positionH>
                      <wp:positionV relativeFrom="paragraph">
                        <wp:posOffset>236219</wp:posOffset>
                      </wp:positionV>
                      <wp:extent cx="214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93547" id="Straight Connector 3" o:spid="_x0000_s1026" style="position:absolute;z-index:25165926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lang w:val="vi-VN"/>
              </w:rPr>
              <w:t>Độc lập - Tự do - Hạnh phúc</w:t>
            </w:r>
          </w:p>
        </w:tc>
      </w:tr>
      <w:tr w:rsidR="00D83232" w:rsidRPr="00DD278C" w14:paraId="25EA58DC" w14:textId="77777777" w:rsidTr="005E7E10">
        <w:trPr>
          <w:trHeight w:val="20"/>
        </w:trPr>
        <w:tc>
          <w:tcPr>
            <w:tcW w:w="1544" w:type="pct"/>
            <w:hideMark/>
          </w:tcPr>
          <w:p w14:paraId="386B05BD" w14:textId="66531216" w:rsidR="00D83232" w:rsidRPr="00DD278C" w:rsidRDefault="00D83232" w:rsidP="005E7E10">
            <w:pPr>
              <w:autoSpaceDN w:val="0"/>
              <w:spacing w:after="0" w:line="240" w:lineRule="auto"/>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lang w:val="en-US"/>
              </w:rPr>
              <w:t>45</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7CC7E48B" w14:textId="77777777" w:rsidR="00D83232" w:rsidRPr="00DD278C" w:rsidRDefault="00D83232" w:rsidP="005E7E10">
            <w:pPr>
              <w:autoSpaceDN w:val="0"/>
              <w:spacing w:after="0" w:line="240" w:lineRule="auto"/>
              <w:jc w:val="center"/>
              <w:rPr>
                <w:rFonts w:eastAsia="PMingLiU"/>
                <w:b/>
                <w:sz w:val="26"/>
                <w:szCs w:val="26"/>
                <w:lang w:val="vi-VN"/>
              </w:rPr>
            </w:pPr>
          </w:p>
        </w:tc>
        <w:tc>
          <w:tcPr>
            <w:tcW w:w="2941" w:type="pct"/>
            <w:hideMark/>
          </w:tcPr>
          <w:p w14:paraId="1B97B43D" w14:textId="0F68AED2" w:rsidR="00D83232" w:rsidRPr="00DD278C" w:rsidRDefault="00D83232" w:rsidP="005E7E10">
            <w:pPr>
              <w:autoSpaceDN w:val="0"/>
              <w:spacing w:after="0" w:line="240" w:lineRule="auto"/>
              <w:jc w:val="center"/>
              <w:rPr>
                <w:rFonts w:eastAsia="PMingLiU"/>
                <w:b/>
                <w:sz w:val="26"/>
                <w:szCs w:val="26"/>
                <w:lang w:val="vi-VN"/>
              </w:rPr>
            </w:pPr>
            <w:r w:rsidRPr="00DD278C">
              <w:rPr>
                <w:rFonts w:eastAsia="PMingLiU"/>
                <w:i/>
                <w:lang w:val="vi-VN"/>
              </w:rPr>
              <w:t xml:space="preserve">Đồng Nai, ngày </w:t>
            </w:r>
            <w:r>
              <w:rPr>
                <w:rFonts w:eastAsia="PMingLiU"/>
                <w:i/>
                <w:lang w:val="en-US"/>
              </w:rPr>
              <w:t>21</w:t>
            </w:r>
            <w:r w:rsidRPr="00DD278C">
              <w:rPr>
                <w:rFonts w:eastAsia="PMingLiU"/>
                <w:i/>
                <w:lang w:val="vi-VN"/>
              </w:rPr>
              <w:t xml:space="preserve"> tháng </w:t>
            </w:r>
            <w:r>
              <w:rPr>
                <w:rFonts w:eastAsia="PMingLiU"/>
                <w:i/>
                <w:lang w:val="en-US"/>
              </w:rPr>
              <w:t>10</w:t>
            </w:r>
            <w:r w:rsidRPr="00DD278C">
              <w:rPr>
                <w:rFonts w:eastAsia="PMingLiU"/>
                <w:i/>
                <w:lang w:val="vi-VN"/>
              </w:rPr>
              <w:t xml:space="preserve"> năm 2025</w:t>
            </w:r>
          </w:p>
        </w:tc>
      </w:tr>
    </w:tbl>
    <w:p w14:paraId="6CBC7EC7" w14:textId="77777777" w:rsidR="006654D8" w:rsidRPr="00D83232" w:rsidRDefault="006654D8" w:rsidP="00D83232">
      <w:pPr>
        <w:spacing w:after="0" w:line="240" w:lineRule="auto"/>
        <w:jc w:val="center"/>
        <w:rPr>
          <w:b/>
          <w:u w:color="000000" w:themeColor="text1"/>
        </w:rPr>
      </w:pPr>
    </w:p>
    <w:p w14:paraId="2B7A0CCA" w14:textId="77777777" w:rsidR="00703338" w:rsidRPr="00D83232" w:rsidRDefault="00703338" w:rsidP="00D83232">
      <w:pPr>
        <w:spacing w:after="0" w:line="240" w:lineRule="auto"/>
        <w:jc w:val="center"/>
        <w:rPr>
          <w:b/>
          <w:u w:color="000000" w:themeColor="text1"/>
        </w:rPr>
      </w:pPr>
      <w:r w:rsidRPr="00D83232">
        <w:rPr>
          <w:b/>
          <w:bCs/>
          <w:u w:color="000000" w:themeColor="text1"/>
          <w:lang w:val="vi-VN"/>
        </w:rPr>
        <w:t>QUYẾT ĐỊNH</w:t>
      </w:r>
    </w:p>
    <w:p w14:paraId="442900CB" w14:textId="7410498E" w:rsidR="00703338" w:rsidRPr="00D83232" w:rsidRDefault="00703338" w:rsidP="00D83232">
      <w:pPr>
        <w:spacing w:after="0" w:line="240" w:lineRule="auto"/>
        <w:jc w:val="center"/>
        <w:rPr>
          <w:b/>
          <w:u w:color="000000" w:themeColor="text1"/>
        </w:rPr>
      </w:pPr>
      <w:r w:rsidRPr="00D83232">
        <w:rPr>
          <w:b/>
          <w:u w:color="000000" w:themeColor="text1"/>
        </w:rPr>
        <w:t>Chuyển giao thẩm quyền chứng thực giao dịch từ Ủy ban nhân dân xã, phường sang tổ chức hành nghề công chứng trên địa bàn tỉnh Đồng Nai</w:t>
      </w:r>
    </w:p>
    <w:p w14:paraId="2778D9EE" w14:textId="77777777" w:rsidR="00703338" w:rsidRPr="00D83232" w:rsidRDefault="00703338" w:rsidP="00D83232">
      <w:pPr>
        <w:spacing w:after="0" w:line="240" w:lineRule="auto"/>
        <w:jc w:val="center"/>
        <w:rPr>
          <w:b/>
          <w:u w:color="000000" w:themeColor="text1"/>
        </w:rPr>
      </w:pPr>
    </w:p>
    <w:p w14:paraId="35AF9862" w14:textId="3E9062BF" w:rsidR="00703338" w:rsidRPr="00D83232" w:rsidRDefault="00703338" w:rsidP="00D83232">
      <w:pPr>
        <w:spacing w:before="120" w:after="0" w:line="240" w:lineRule="auto"/>
        <w:ind w:firstLine="567"/>
        <w:jc w:val="both"/>
        <w:rPr>
          <w:i/>
          <w:iCs/>
          <w:u w:color="000000" w:themeColor="text1"/>
        </w:rPr>
      </w:pPr>
      <w:r w:rsidRPr="00D83232">
        <w:rPr>
          <w:i/>
          <w:iCs/>
          <w:u w:color="000000" w:themeColor="text1"/>
          <w:lang w:val="vi-VN"/>
        </w:rPr>
        <w:t xml:space="preserve">Căn cứ Luật Tổ chức chính quyền địa phương </w:t>
      </w:r>
      <w:r w:rsidRPr="00D83232">
        <w:rPr>
          <w:i/>
          <w:iCs/>
          <w:u w:color="000000" w:themeColor="text1"/>
        </w:rPr>
        <w:t>số 72/2025/QH15;</w:t>
      </w:r>
    </w:p>
    <w:p w14:paraId="2C75C663" w14:textId="77777777" w:rsidR="00703338" w:rsidRPr="00D83232" w:rsidRDefault="00703338" w:rsidP="00D83232">
      <w:pPr>
        <w:spacing w:before="120" w:after="0" w:line="240" w:lineRule="auto"/>
        <w:ind w:firstLine="567"/>
        <w:jc w:val="both"/>
        <w:rPr>
          <w:i/>
          <w:iCs/>
          <w:u w:color="000000" w:themeColor="text1"/>
        </w:rPr>
      </w:pPr>
      <w:r w:rsidRPr="00D83232">
        <w:rPr>
          <w:i/>
          <w:iCs/>
          <w:u w:color="000000" w:themeColor="text1"/>
        </w:rPr>
        <w:t>Căn cứ Luật Ban hành văn bản quy phạm pháp luật số 64/2025/QH15 được sửa đổi, bổ sung bởi Luật số 87/2025/QH15;</w:t>
      </w:r>
    </w:p>
    <w:p w14:paraId="3D489530" w14:textId="77777777" w:rsidR="00703338" w:rsidRPr="00D83232" w:rsidRDefault="00703338" w:rsidP="00D83232">
      <w:pPr>
        <w:spacing w:before="120" w:after="0" w:line="240" w:lineRule="auto"/>
        <w:ind w:firstLine="567"/>
        <w:jc w:val="both"/>
        <w:rPr>
          <w:i/>
          <w:iCs/>
          <w:u w:color="000000" w:themeColor="text1"/>
          <w:lang w:eastAsia="vi-VN"/>
        </w:rPr>
      </w:pPr>
      <w:r w:rsidRPr="00D83232">
        <w:rPr>
          <w:i/>
          <w:iCs/>
          <w:u w:color="000000" w:themeColor="text1"/>
          <w:lang w:val="vi-VN" w:eastAsia="vi-VN"/>
        </w:rPr>
        <w:t xml:space="preserve">Căn cứ Luật Công chứng </w:t>
      </w:r>
      <w:r w:rsidRPr="00D83232">
        <w:rPr>
          <w:i/>
          <w:iCs/>
          <w:u w:color="000000" w:themeColor="text1"/>
          <w:lang w:eastAsia="vi-VN"/>
        </w:rPr>
        <w:t>số 46/2024/QH15</w:t>
      </w:r>
      <w:r w:rsidRPr="00D83232">
        <w:rPr>
          <w:i/>
          <w:iCs/>
          <w:u w:color="000000" w:themeColor="text1"/>
          <w:lang w:val="vi-VN" w:eastAsia="vi-VN"/>
        </w:rPr>
        <w:t>;</w:t>
      </w:r>
    </w:p>
    <w:p w14:paraId="24902862" w14:textId="77777777" w:rsidR="00703338" w:rsidRPr="00D83232" w:rsidRDefault="00703338" w:rsidP="00D83232">
      <w:pPr>
        <w:spacing w:before="120" w:after="0" w:line="240" w:lineRule="auto"/>
        <w:ind w:firstLine="567"/>
        <w:jc w:val="both"/>
        <w:rPr>
          <w:i/>
          <w:iCs/>
          <w:u w:color="000000" w:themeColor="text1"/>
        </w:rPr>
      </w:pPr>
      <w:r w:rsidRPr="00D83232">
        <w:rPr>
          <w:i/>
          <w:iCs/>
          <w:u w:color="000000" w:themeColor="text1"/>
        </w:rPr>
        <w:t>Căn cứ Luật Đất đai số 31/2024/QH15 được sửa đổi, bổ sung bởi Luật số 43/2024/QH15;</w:t>
      </w:r>
    </w:p>
    <w:p w14:paraId="4969F831" w14:textId="77777777" w:rsidR="00703338" w:rsidRPr="00D83232" w:rsidRDefault="00703338" w:rsidP="00D83232">
      <w:pPr>
        <w:spacing w:before="120" w:after="0" w:line="240" w:lineRule="auto"/>
        <w:ind w:firstLine="567"/>
        <w:jc w:val="both"/>
        <w:rPr>
          <w:i/>
          <w:iCs/>
          <w:u w:color="000000" w:themeColor="text1"/>
        </w:rPr>
      </w:pPr>
      <w:r w:rsidRPr="00D83232">
        <w:rPr>
          <w:i/>
          <w:iCs/>
          <w:u w:color="000000" w:themeColor="text1"/>
        </w:rPr>
        <w:t>Căn cứ Luật Nhà ở số 27/2023/QH15;</w:t>
      </w:r>
    </w:p>
    <w:p w14:paraId="0163394F" w14:textId="77777777" w:rsidR="00703338" w:rsidRPr="00D83232" w:rsidRDefault="00703338" w:rsidP="00D83232">
      <w:pPr>
        <w:spacing w:before="120" w:after="0" w:line="240" w:lineRule="auto"/>
        <w:ind w:firstLine="567"/>
        <w:jc w:val="both"/>
        <w:rPr>
          <w:i/>
          <w:color w:val="000000"/>
          <w:u w:color="000000" w:themeColor="text1"/>
        </w:rPr>
      </w:pPr>
      <w:r w:rsidRPr="00D83232">
        <w:rPr>
          <w:i/>
          <w:color w:val="000000"/>
          <w:u w:color="000000" w:themeColor="text1"/>
        </w:rPr>
        <w:t xml:space="preserve">Căn cứ Nghị định số 104/2025/NĐ-CP của Chính phủ </w:t>
      </w:r>
      <w:bookmarkStart w:id="0" w:name="loai_1_name"/>
      <w:r w:rsidRPr="00D83232">
        <w:rPr>
          <w:i/>
          <w:color w:val="000000"/>
          <w:u w:color="000000" w:themeColor="text1"/>
        </w:rPr>
        <w:t>quy định chi tiết một số điều và biện pháp thi hành Luật Công chứng</w:t>
      </w:r>
      <w:bookmarkEnd w:id="0"/>
      <w:r w:rsidRPr="00D83232">
        <w:rPr>
          <w:i/>
          <w:color w:val="000000"/>
          <w:u w:color="000000" w:themeColor="text1"/>
        </w:rPr>
        <w:t>;</w:t>
      </w:r>
    </w:p>
    <w:p w14:paraId="569A4671" w14:textId="77777777" w:rsidR="00703338" w:rsidRPr="00D83232" w:rsidRDefault="00703338" w:rsidP="00D83232">
      <w:pPr>
        <w:spacing w:before="120" w:after="0" w:line="240" w:lineRule="auto"/>
        <w:ind w:firstLine="567"/>
        <w:jc w:val="both"/>
        <w:rPr>
          <w:bCs/>
          <w:i/>
          <w:iCs/>
          <w:u w:color="000000" w:themeColor="text1"/>
        </w:rPr>
      </w:pPr>
      <w:r w:rsidRPr="00D83232">
        <w:rPr>
          <w:bCs/>
          <w:i/>
          <w:iCs/>
          <w:u w:color="000000" w:themeColor="text1"/>
        </w:rPr>
        <w:t>Căn cứ Nghị định số 23/2015/NĐ-CP của Chính phủ về cấp bản sao từ sổ gốc, chứng thực bản sao từ bản chính, chứng thực chữ ký và chứng thực hợp đồng, giao dịch được sửa đổi, bổ sung bởi Nghị định số 07/2025/NĐ-CP;</w:t>
      </w:r>
    </w:p>
    <w:p w14:paraId="778D4679" w14:textId="77777777" w:rsidR="00703338" w:rsidRPr="00D83232" w:rsidRDefault="00703338" w:rsidP="00D83232">
      <w:pPr>
        <w:spacing w:before="120" w:after="0" w:line="240" w:lineRule="auto"/>
        <w:ind w:firstLine="567"/>
        <w:jc w:val="both"/>
        <w:rPr>
          <w:bCs/>
          <w:i/>
          <w:iCs/>
          <w:u w:color="000000" w:themeColor="text1"/>
        </w:rPr>
      </w:pPr>
      <w:r w:rsidRPr="00D83232">
        <w:rPr>
          <w:bCs/>
          <w:i/>
          <w:iCs/>
          <w:u w:color="000000" w:themeColor="text1"/>
        </w:rPr>
        <w:t>Căn cứ Nghị định số 120/2025/NĐ-CP của Chính phủ quy định về phân định thẩm quyền của chính quyền địa phương 02 cấp trong lĩnh vực quản lý nhà nước của Bộ Tư pháp;</w:t>
      </w:r>
    </w:p>
    <w:p w14:paraId="01D58B11" w14:textId="77777777" w:rsidR="00703338" w:rsidRPr="00D83232" w:rsidRDefault="00703338" w:rsidP="00D83232">
      <w:pPr>
        <w:spacing w:before="120" w:after="0" w:line="240" w:lineRule="auto"/>
        <w:ind w:firstLine="567"/>
        <w:jc w:val="both"/>
        <w:rPr>
          <w:bCs/>
          <w:i/>
          <w:iCs/>
          <w:u w:color="000000" w:themeColor="text1"/>
        </w:rPr>
      </w:pPr>
      <w:r w:rsidRPr="00D83232">
        <w:rPr>
          <w:bCs/>
          <w:i/>
          <w:iCs/>
          <w:u w:color="000000" w:themeColor="text1"/>
        </w:rPr>
        <w:t>Căn cứ Thông tư số 08/2025/TT-BTP của Bộ trưởng Bộ Tư pháp quy định về phân định thẩm quyền của chính quyền địa phương 02 cấp và phân cấp trong lĩnh vực quản lý nhà nước của Bộ Tư pháp;</w:t>
      </w:r>
    </w:p>
    <w:p w14:paraId="7844CF6F" w14:textId="61916A2C" w:rsidR="00703338" w:rsidRPr="00D83232" w:rsidRDefault="00703338" w:rsidP="00D83232">
      <w:pPr>
        <w:spacing w:before="120" w:after="0" w:line="240" w:lineRule="auto"/>
        <w:ind w:firstLine="567"/>
        <w:jc w:val="both"/>
        <w:rPr>
          <w:i/>
          <w:iCs/>
          <w:u w:color="000000" w:themeColor="text1"/>
          <w:lang w:val="en-US"/>
        </w:rPr>
      </w:pPr>
      <w:r w:rsidRPr="00D83232">
        <w:rPr>
          <w:i/>
          <w:iCs/>
          <w:u w:color="000000" w:themeColor="text1"/>
        </w:rPr>
        <w:t xml:space="preserve">Theo </w:t>
      </w:r>
      <w:r w:rsidRPr="00D83232">
        <w:rPr>
          <w:i/>
          <w:iCs/>
          <w:u w:color="000000" w:themeColor="text1"/>
          <w:lang w:val="vi-VN"/>
        </w:rPr>
        <w:t>đề nghị của</w:t>
      </w:r>
      <w:r w:rsidRPr="00D83232">
        <w:rPr>
          <w:i/>
          <w:iCs/>
          <w:u w:color="000000" w:themeColor="text1"/>
        </w:rPr>
        <w:t xml:space="preserve"> Giám đốc</w:t>
      </w:r>
      <w:r w:rsidRPr="00D83232">
        <w:rPr>
          <w:i/>
          <w:iCs/>
          <w:u w:color="000000" w:themeColor="text1"/>
          <w:lang w:val="vi-VN"/>
        </w:rPr>
        <w:t xml:space="preserve"> Sở </w:t>
      </w:r>
      <w:r w:rsidRPr="00D83232">
        <w:rPr>
          <w:i/>
          <w:iCs/>
          <w:u w:color="000000" w:themeColor="text1"/>
        </w:rPr>
        <w:t>Tư pháp;</w:t>
      </w:r>
    </w:p>
    <w:p w14:paraId="7257DFF9" w14:textId="4BDB9FAA" w:rsidR="007604B6" w:rsidRPr="00D83232" w:rsidRDefault="00703338" w:rsidP="00D83232">
      <w:pPr>
        <w:spacing w:before="120" w:after="0" w:line="240" w:lineRule="auto"/>
        <w:ind w:firstLine="567"/>
        <w:jc w:val="both"/>
        <w:rPr>
          <w:i/>
          <w:iCs/>
          <w:u w:color="000000" w:themeColor="text1"/>
        </w:rPr>
      </w:pPr>
      <w:r w:rsidRPr="00D83232">
        <w:rPr>
          <w:i/>
          <w:iCs/>
          <w:u w:color="000000" w:themeColor="text1"/>
        </w:rPr>
        <w:t>Ủy ban nhân dân ban hành Quyết định chuyển giao thẩm quyền chứng thực giao dịch từ Ủy ban nhân dân xã, phường sang tổ chức hành nghề công chứng trên địa bàn tỉnh Đồng Nai.</w:t>
      </w:r>
    </w:p>
    <w:p w14:paraId="4FD31F51" w14:textId="77777777" w:rsidR="00703338" w:rsidRPr="00D83232" w:rsidRDefault="00703338" w:rsidP="00D83232">
      <w:pPr>
        <w:spacing w:before="240" w:after="0" w:line="240" w:lineRule="auto"/>
        <w:ind w:firstLine="567"/>
        <w:jc w:val="both"/>
        <w:rPr>
          <w:b/>
          <w:iCs/>
          <w:u w:color="000000" w:themeColor="text1"/>
        </w:rPr>
      </w:pPr>
      <w:r w:rsidRPr="00D83232">
        <w:rPr>
          <w:b/>
          <w:iCs/>
          <w:u w:color="000000" w:themeColor="text1"/>
        </w:rPr>
        <w:t>Điều 1.</w:t>
      </w:r>
      <w:r w:rsidRPr="00D83232">
        <w:rPr>
          <w:i/>
          <w:iCs/>
          <w:u w:color="000000" w:themeColor="text1"/>
        </w:rPr>
        <w:t xml:space="preserve"> </w:t>
      </w:r>
      <w:r w:rsidRPr="00D83232">
        <w:rPr>
          <w:b/>
          <w:iCs/>
          <w:u w:color="000000" w:themeColor="text1"/>
        </w:rPr>
        <w:t>Phạm vi điều chỉnh và đối tượng áp dụng</w:t>
      </w:r>
    </w:p>
    <w:p w14:paraId="71654895" w14:textId="77777777" w:rsidR="00703338" w:rsidRPr="00D83232" w:rsidRDefault="00703338" w:rsidP="00D83232">
      <w:pPr>
        <w:spacing w:before="120" w:after="0" w:line="240" w:lineRule="auto"/>
        <w:ind w:firstLine="567"/>
        <w:jc w:val="both"/>
        <w:rPr>
          <w:iCs/>
          <w:u w:color="000000" w:themeColor="text1"/>
        </w:rPr>
      </w:pPr>
      <w:r w:rsidRPr="00D83232">
        <w:rPr>
          <w:iCs/>
          <w:u w:color="000000" w:themeColor="text1"/>
        </w:rPr>
        <w:t>1. Phạm vi điều chỉnh</w:t>
      </w:r>
    </w:p>
    <w:p w14:paraId="559E6B06" w14:textId="77777777" w:rsidR="00703338" w:rsidRPr="00D83232" w:rsidRDefault="00703338" w:rsidP="00D83232">
      <w:pPr>
        <w:widowControl w:val="0"/>
        <w:spacing w:before="140" w:after="0" w:line="240" w:lineRule="auto"/>
        <w:ind w:firstLine="567"/>
        <w:jc w:val="both"/>
        <w:rPr>
          <w:iCs/>
          <w:u w:color="000000" w:themeColor="text1"/>
        </w:rPr>
      </w:pPr>
      <w:r w:rsidRPr="00D83232">
        <w:rPr>
          <w:iCs/>
          <w:u w:color="000000" w:themeColor="text1"/>
        </w:rPr>
        <w:t>Quyết định này quy định việc chuyển giao thẩm quyền chứng thực giao dịch từ Ủy ban nhân dân xã, phường sang các tổ chức hành nghề công chứng trên địa bàn tỉnh Đồng Nai.</w:t>
      </w:r>
    </w:p>
    <w:p w14:paraId="397C986D" w14:textId="77777777" w:rsidR="00703338" w:rsidRPr="00D83232" w:rsidRDefault="00703338" w:rsidP="00D83232">
      <w:pPr>
        <w:widowControl w:val="0"/>
        <w:spacing w:before="140" w:after="0" w:line="240" w:lineRule="auto"/>
        <w:ind w:firstLine="567"/>
        <w:jc w:val="both"/>
        <w:rPr>
          <w:iCs/>
          <w:u w:color="000000" w:themeColor="text1"/>
        </w:rPr>
      </w:pPr>
      <w:r w:rsidRPr="00D83232">
        <w:rPr>
          <w:iCs/>
          <w:u w:color="000000" w:themeColor="text1"/>
        </w:rPr>
        <w:t>2. Đối tượng áp dụng</w:t>
      </w:r>
    </w:p>
    <w:p w14:paraId="7BF05FDE" w14:textId="77777777" w:rsidR="00703338" w:rsidRPr="00D83232" w:rsidRDefault="00703338" w:rsidP="00D83232">
      <w:pPr>
        <w:widowControl w:val="0"/>
        <w:spacing w:before="140" w:after="0" w:line="240" w:lineRule="auto"/>
        <w:ind w:firstLine="567"/>
        <w:jc w:val="both"/>
        <w:rPr>
          <w:i/>
          <w:iCs/>
          <w:u w:color="000000" w:themeColor="text1"/>
        </w:rPr>
      </w:pPr>
      <w:r w:rsidRPr="00D83232">
        <w:rPr>
          <w:iCs/>
          <w:u w:color="000000" w:themeColor="text1"/>
        </w:rPr>
        <w:t xml:space="preserve">Quyết định này áp dụng đối Ủy ban nhân dân các xã, phường; các tổ chức hành nghề công chứng và các cơ quan, tổ chức, cá nhân liên quan đến hoạt động chứng </w:t>
      </w:r>
      <w:r w:rsidRPr="00D83232">
        <w:rPr>
          <w:iCs/>
          <w:u w:color="000000" w:themeColor="text1"/>
        </w:rPr>
        <w:lastRenderedPageBreak/>
        <w:t>thực và quản lý nhà nước về chứng thực trên địa bàn tỉnh Đồng Nai.</w:t>
      </w:r>
    </w:p>
    <w:p w14:paraId="4F9AB26C" w14:textId="77777777" w:rsidR="00703338" w:rsidRPr="00D83232" w:rsidRDefault="00703338" w:rsidP="00D83232">
      <w:pPr>
        <w:spacing w:before="120" w:after="0" w:line="240" w:lineRule="auto"/>
        <w:ind w:firstLine="567"/>
        <w:jc w:val="both"/>
        <w:rPr>
          <w:b/>
          <w:bCs/>
          <w:u w:color="000000" w:themeColor="text1"/>
        </w:rPr>
      </w:pPr>
      <w:r w:rsidRPr="00D83232">
        <w:rPr>
          <w:b/>
          <w:bCs/>
          <w:u w:color="000000" w:themeColor="text1"/>
          <w:lang w:val="vi-VN"/>
        </w:rPr>
        <w:t xml:space="preserve">Điều 2. </w:t>
      </w:r>
      <w:r w:rsidRPr="00D83232">
        <w:rPr>
          <w:b/>
          <w:bCs/>
          <w:u w:color="000000" w:themeColor="text1"/>
        </w:rPr>
        <w:t>Phạm vi chuyển giao</w:t>
      </w:r>
    </w:p>
    <w:p w14:paraId="7CBBACED" w14:textId="4268DFC6" w:rsidR="00703338" w:rsidRPr="00D83232" w:rsidRDefault="00703338" w:rsidP="00D83232">
      <w:pPr>
        <w:spacing w:before="120" w:after="0" w:line="240" w:lineRule="auto"/>
        <w:ind w:firstLine="567"/>
        <w:jc w:val="both"/>
        <w:rPr>
          <w:bCs/>
          <w:u w:color="000000" w:themeColor="text1"/>
        </w:rPr>
      </w:pPr>
      <w:r w:rsidRPr="00D83232">
        <w:rPr>
          <w:bCs/>
          <w:u w:color="000000" w:themeColor="text1"/>
        </w:rPr>
        <w:t>1. Chuyển giao thẩm quyền chứng thực giao dịch từ Ủy ban nhân dân 42 xã, phường (</w:t>
      </w:r>
      <w:r w:rsidRPr="00D83232">
        <w:rPr>
          <w:bCs/>
          <w:i/>
          <w:u w:color="000000" w:themeColor="text1"/>
        </w:rPr>
        <w:t>Danh sách kèm theo</w:t>
      </w:r>
      <w:r w:rsidRPr="00D83232">
        <w:rPr>
          <w:bCs/>
          <w:u w:color="000000" w:themeColor="text1"/>
        </w:rPr>
        <w:t xml:space="preserve">) sang các tổ chức hành nghề công chứng trên địa bàn tỉnh Đồng Nai được quy định tại Điều 5 Nghị định số 23/2015/NĐ-CP ngày 16/02/2015 của Chính phủ về cấp bản sao từ sổ gốc, chứng thực bản sao từ bản chính, chứng thực chữ ký và chứng thực hợp đồng, giao dịch </w:t>
      </w:r>
      <w:r w:rsidRPr="00D83232">
        <w:rPr>
          <w:bCs/>
          <w:u w:color="000000" w:themeColor="text1"/>
          <w:lang w:val="nl-NL"/>
        </w:rPr>
        <w:t>được sửa đổi, bổ sung bởi Nghị định số 07/2025/NĐ-CP ngày 09/01/2025 của Chính phủ</w:t>
      </w:r>
      <w:r w:rsidRPr="00D83232">
        <w:rPr>
          <w:bCs/>
          <w:i/>
          <w:u w:color="000000" w:themeColor="text1"/>
        </w:rPr>
        <w:t>.</w:t>
      </w:r>
      <w:r w:rsidRPr="00D83232">
        <w:rPr>
          <w:bCs/>
          <w:u w:color="000000" w:themeColor="text1"/>
        </w:rPr>
        <w:t xml:space="preserve"> </w:t>
      </w:r>
    </w:p>
    <w:p w14:paraId="46E5FC2E" w14:textId="6CEFB0E6" w:rsidR="00703338" w:rsidRPr="00D83232" w:rsidRDefault="00703338" w:rsidP="00D83232">
      <w:pPr>
        <w:spacing w:before="120" w:after="0" w:line="240" w:lineRule="auto"/>
        <w:ind w:firstLine="567"/>
        <w:jc w:val="both"/>
        <w:rPr>
          <w:color w:val="000000" w:themeColor="text1"/>
          <w:u w:color="000000" w:themeColor="text1"/>
        </w:rPr>
      </w:pPr>
      <w:r w:rsidRPr="00D83232">
        <w:rPr>
          <w:color w:val="000000" w:themeColor="text1"/>
          <w:u w:color="000000" w:themeColor="text1"/>
        </w:rPr>
        <w:t xml:space="preserve">2. Từ thời điểm Quyết định này có hiệu lực, Ủy ban nhân dân các xã, phường quy định tại khoản 1 Điều này, không tiếp nhận và không thực hiện việc chứng thực các hợp đồng, giao dịch thuộc phạm vi đã được chuyển giao. Trong quá trình thực hiện hợp đồng, giao dịch, người yêu cầu chứng thực hợp đồng, giao dịch tại Ủy ban nhân dân xã, phường đã thực hiện chuyển giao có thể lựa chọn công chứng các hợp đồng, giao dịch tại các tổ chức hành nghề công chứng trên địa bàn tỉnh. </w:t>
      </w:r>
    </w:p>
    <w:p w14:paraId="000842C3" w14:textId="77777777" w:rsidR="00703338" w:rsidRPr="00D83232" w:rsidRDefault="00703338" w:rsidP="00D83232">
      <w:pPr>
        <w:spacing w:before="120" w:after="0" w:line="240" w:lineRule="auto"/>
        <w:ind w:firstLine="567"/>
        <w:jc w:val="both"/>
        <w:rPr>
          <w:color w:val="000000" w:themeColor="text1"/>
          <w:u w:color="000000" w:themeColor="text1"/>
        </w:rPr>
      </w:pPr>
      <w:r w:rsidRPr="00D83232">
        <w:rPr>
          <w:color w:val="000000" w:themeColor="text1"/>
          <w:u w:color="000000" w:themeColor="text1"/>
        </w:rPr>
        <w:t xml:space="preserve">Các việc chứng thực không được chuyển giao (không phải là chứng thực hợp đồng, giao dịch), Ủy ban nhân dân các xã, phường vẫn thực hiện theo </w:t>
      </w:r>
      <w:r w:rsidRPr="00D83232">
        <w:rPr>
          <w:u w:color="000000" w:themeColor="text1"/>
        </w:rPr>
        <w:t xml:space="preserve">Nghị định số 23/2015/NĐ-CP </w:t>
      </w:r>
      <w:r w:rsidRPr="00D83232">
        <w:rPr>
          <w:bCs/>
          <w:u w:color="000000" w:themeColor="text1"/>
          <w:lang w:val="nl-NL"/>
        </w:rPr>
        <w:t>được sửa đổi, bổ sung bởi Nghị định số 07/2025/NĐ-CP</w:t>
      </w:r>
      <w:r w:rsidRPr="00D83232">
        <w:rPr>
          <w:color w:val="000000" w:themeColor="text1"/>
          <w:u w:color="000000" w:themeColor="text1"/>
        </w:rPr>
        <w:t xml:space="preserve"> và các văn bản có liên quan.</w:t>
      </w:r>
    </w:p>
    <w:p w14:paraId="57F5E258" w14:textId="568E2FDF" w:rsidR="00703338" w:rsidRPr="00D83232" w:rsidRDefault="00703338" w:rsidP="00D83232">
      <w:pPr>
        <w:spacing w:before="120" w:after="0" w:line="240" w:lineRule="auto"/>
        <w:ind w:firstLine="567"/>
        <w:jc w:val="both"/>
        <w:rPr>
          <w:bCs/>
          <w:iCs/>
          <w:u w:color="000000" w:themeColor="text1"/>
        </w:rPr>
      </w:pPr>
      <w:r w:rsidRPr="00D83232">
        <w:rPr>
          <w:u w:color="000000" w:themeColor="text1"/>
        </w:rPr>
        <w:t xml:space="preserve">3. Đối với </w:t>
      </w:r>
      <w:r w:rsidRPr="00D83232">
        <w:rPr>
          <w:color w:val="000000" w:themeColor="text1"/>
          <w:u w:color="000000" w:themeColor="text1"/>
        </w:rPr>
        <w:t>Ủy ban nhân dân</w:t>
      </w:r>
      <w:r w:rsidRPr="00D83232">
        <w:rPr>
          <w:u w:color="000000" w:themeColor="text1"/>
        </w:rPr>
        <w:t xml:space="preserve"> các xã, phường không được quy định tại Khoản 1 Điều này thì tiếp tục thực hiện thẩm quyền được quy định tại Điều 5 Nghị định số 23/2015/NĐ-CP</w:t>
      </w:r>
      <w:r w:rsidRPr="00D83232">
        <w:rPr>
          <w:bCs/>
          <w:u w:color="000000" w:themeColor="text1"/>
        </w:rPr>
        <w:t xml:space="preserve"> ngày 16/02/2015</w:t>
      </w:r>
      <w:r w:rsidR="008B63BA" w:rsidRPr="00D83232">
        <w:rPr>
          <w:bCs/>
          <w:u w:color="000000" w:themeColor="text1"/>
        </w:rPr>
        <w:t xml:space="preserve"> </w:t>
      </w:r>
      <w:r w:rsidRPr="00D83232">
        <w:rPr>
          <w:bCs/>
          <w:u w:color="000000" w:themeColor="text1"/>
        </w:rPr>
        <w:t>của Chính phủ</w:t>
      </w:r>
      <w:r w:rsidRPr="00D83232">
        <w:rPr>
          <w:u w:color="000000" w:themeColor="text1"/>
        </w:rPr>
        <w:t xml:space="preserve"> </w:t>
      </w:r>
      <w:r w:rsidRPr="00D83232">
        <w:rPr>
          <w:bCs/>
          <w:u w:color="000000" w:themeColor="text1"/>
          <w:lang w:val="nl-NL"/>
        </w:rPr>
        <w:t>được sửa đổi, bổ sung bởi Nghị định số 07/2025/NĐ-CP ngày 09/01/2025 của Chính phủ</w:t>
      </w:r>
      <w:r w:rsidRPr="00D83232">
        <w:rPr>
          <w:bCs/>
          <w:iCs/>
          <w:u w:color="000000" w:themeColor="text1"/>
        </w:rPr>
        <w:t xml:space="preserve"> và các quy định pháp luật có liên quan. </w:t>
      </w:r>
      <w:r w:rsidRPr="00D83232">
        <w:rPr>
          <w:color w:val="000000" w:themeColor="text1"/>
          <w:u w:color="000000" w:themeColor="text1"/>
        </w:rPr>
        <w:t xml:space="preserve">Người yêu cầu chứng thực hợp đồng, giao dịch có thể lựa chọn công chứng hợp đồng, giao dịch tại các tổ chức hành nghề công chứng trên địa bàn tỉnh hoặc chứng thực tại Ủy ban nhân </w:t>
      </w:r>
      <w:r w:rsidR="00C952D0" w:rsidRPr="00D83232">
        <w:rPr>
          <w:color w:val="000000" w:themeColor="text1"/>
          <w:u w:color="000000" w:themeColor="text1"/>
        </w:rPr>
        <w:t xml:space="preserve">dân </w:t>
      </w:r>
      <w:r w:rsidRPr="00D83232">
        <w:rPr>
          <w:color w:val="000000" w:themeColor="text1"/>
          <w:u w:color="000000" w:themeColor="text1"/>
        </w:rPr>
        <w:t>xã, phường không thực hiện chuyển giao theo quy định</w:t>
      </w:r>
      <w:r w:rsidRPr="00D83232">
        <w:rPr>
          <w:bCs/>
          <w:iCs/>
          <w:u w:color="000000" w:themeColor="text1"/>
        </w:rPr>
        <w:t>.</w:t>
      </w:r>
    </w:p>
    <w:p w14:paraId="0EF929F5" w14:textId="77777777" w:rsidR="00703338" w:rsidRPr="00D83232" w:rsidRDefault="00703338" w:rsidP="00D83232">
      <w:pPr>
        <w:spacing w:before="100" w:after="0" w:line="240" w:lineRule="auto"/>
        <w:ind w:firstLine="567"/>
        <w:jc w:val="both"/>
        <w:rPr>
          <w:bCs/>
          <w:iCs/>
          <w:u w:color="000000" w:themeColor="text1"/>
        </w:rPr>
      </w:pPr>
      <w:r w:rsidRPr="00D83232">
        <w:rPr>
          <w:bCs/>
          <w:iCs/>
          <w:u w:color="000000" w:themeColor="text1"/>
        </w:rPr>
        <w:t xml:space="preserve">4. Nếu trên địa bàn quản lý có tổ chức hành nghề công chứng </w:t>
      </w:r>
      <w:r w:rsidRPr="00D83232">
        <w:rPr>
          <w:bCs/>
          <w:iCs/>
          <w:u w:color="000000" w:themeColor="text1"/>
          <w:lang w:val="zh-CN"/>
        </w:rPr>
        <w:t>được thành lập từ 02 năm trở lên và hoạt động ổn định, hiệu quả</w:t>
      </w:r>
      <w:r w:rsidRPr="00D83232">
        <w:rPr>
          <w:bCs/>
          <w:iCs/>
          <w:u w:color="000000" w:themeColor="text1"/>
        </w:rPr>
        <w:t xml:space="preserve"> thì Ủy ban nhân dân xã, phường đề xuất </w:t>
      </w:r>
      <w:r w:rsidRPr="00D83232">
        <w:rPr>
          <w:u w:color="000000" w:themeColor="text1"/>
        </w:rPr>
        <w:t>Ủy ban nhân dân tỉnh (thông qua Sở Tư pháp) x</w:t>
      </w:r>
      <w:r w:rsidRPr="00D83232">
        <w:rPr>
          <w:u w:color="000000" w:themeColor="text1"/>
          <w:lang w:val="zh-CN"/>
        </w:rPr>
        <w:t>em xét, quyết định</w:t>
      </w:r>
      <w:r w:rsidRPr="00D83232">
        <w:rPr>
          <w:u w:color="000000" w:themeColor="text1"/>
        </w:rPr>
        <w:t xml:space="preserve"> cho phép thực hiện chuyển giao thẩm quyền chứng thực giao dịch theo quy định tại Quyết định này.</w:t>
      </w:r>
    </w:p>
    <w:p w14:paraId="07CB50E8" w14:textId="77777777" w:rsidR="00703338" w:rsidRPr="00D83232" w:rsidRDefault="00703338" w:rsidP="00D83232">
      <w:pPr>
        <w:spacing w:before="100" w:after="0" w:line="240" w:lineRule="auto"/>
        <w:ind w:firstLine="567"/>
        <w:jc w:val="both"/>
        <w:rPr>
          <w:bCs/>
          <w:iCs/>
          <w:color w:val="000000" w:themeColor="text1"/>
          <w:u w:color="000000" w:themeColor="text1"/>
        </w:rPr>
      </w:pPr>
      <w:r w:rsidRPr="00D83232">
        <w:rPr>
          <w:b/>
          <w:bCs/>
          <w:iCs/>
          <w:color w:val="000000" w:themeColor="text1"/>
          <w:u w:color="000000" w:themeColor="text1"/>
        </w:rPr>
        <w:t>Điều 3.</w:t>
      </w:r>
      <w:r w:rsidRPr="00D83232">
        <w:rPr>
          <w:bCs/>
          <w:iCs/>
          <w:color w:val="000000" w:themeColor="text1"/>
          <w:u w:color="000000" w:themeColor="text1"/>
        </w:rPr>
        <w:t xml:space="preserve"> </w:t>
      </w:r>
      <w:r w:rsidRPr="00D83232">
        <w:rPr>
          <w:b/>
          <w:bCs/>
          <w:iCs/>
          <w:color w:val="000000" w:themeColor="text1"/>
          <w:u w:color="000000" w:themeColor="text1"/>
        </w:rPr>
        <w:t>Hiệu lực thi hành</w:t>
      </w:r>
    </w:p>
    <w:p w14:paraId="1DEB90E7" w14:textId="08121285" w:rsidR="00703338" w:rsidRPr="00D83232" w:rsidRDefault="00703338" w:rsidP="00D83232">
      <w:pPr>
        <w:spacing w:before="100" w:after="0" w:line="240" w:lineRule="auto"/>
        <w:ind w:firstLine="567"/>
        <w:jc w:val="both"/>
        <w:rPr>
          <w:color w:val="000000" w:themeColor="text1"/>
          <w:u w:color="000000" w:themeColor="text1"/>
        </w:rPr>
      </w:pPr>
      <w:r w:rsidRPr="00D83232">
        <w:rPr>
          <w:bCs/>
          <w:iCs/>
          <w:color w:val="000000" w:themeColor="text1"/>
          <w:u w:color="000000" w:themeColor="text1"/>
        </w:rPr>
        <w:t xml:space="preserve">Quyết định này có hiệu lực kể từ ngày </w:t>
      </w:r>
      <w:r w:rsidR="00D83232">
        <w:rPr>
          <w:bCs/>
          <w:iCs/>
          <w:color w:val="000000" w:themeColor="text1"/>
          <w:u w:color="000000" w:themeColor="text1"/>
        </w:rPr>
        <w:t xml:space="preserve">01 </w:t>
      </w:r>
      <w:r w:rsidRPr="00D83232">
        <w:rPr>
          <w:bCs/>
          <w:iCs/>
          <w:color w:val="000000" w:themeColor="text1"/>
          <w:u w:color="000000" w:themeColor="text1"/>
        </w:rPr>
        <w:t xml:space="preserve">tháng </w:t>
      </w:r>
      <w:r w:rsidR="00D83232">
        <w:rPr>
          <w:bCs/>
          <w:iCs/>
          <w:color w:val="000000" w:themeColor="text1"/>
          <w:u w:color="000000" w:themeColor="text1"/>
        </w:rPr>
        <w:t>11</w:t>
      </w:r>
      <w:r w:rsidRPr="00D83232">
        <w:rPr>
          <w:bCs/>
          <w:iCs/>
          <w:color w:val="000000" w:themeColor="text1"/>
          <w:u w:color="000000" w:themeColor="text1"/>
        </w:rPr>
        <w:t xml:space="preserve"> năm 2025.</w:t>
      </w:r>
    </w:p>
    <w:p w14:paraId="71229F5E" w14:textId="77777777" w:rsidR="00703338" w:rsidRPr="00D83232" w:rsidRDefault="00703338" w:rsidP="00D83232">
      <w:pPr>
        <w:spacing w:before="100" w:after="0" w:line="240" w:lineRule="auto"/>
        <w:ind w:firstLine="567"/>
        <w:jc w:val="both"/>
        <w:rPr>
          <w:u w:color="000000" w:themeColor="text1"/>
        </w:rPr>
      </w:pPr>
      <w:r w:rsidRPr="00D83232">
        <w:rPr>
          <w:b/>
          <w:u w:color="000000" w:themeColor="text1"/>
        </w:rPr>
        <w:t>Điều 4.</w:t>
      </w:r>
      <w:r w:rsidRPr="00D83232">
        <w:rPr>
          <w:u w:color="000000" w:themeColor="text1"/>
        </w:rPr>
        <w:t xml:space="preserve"> </w:t>
      </w:r>
      <w:r w:rsidRPr="00D83232">
        <w:rPr>
          <w:b/>
          <w:u w:color="000000" w:themeColor="text1"/>
        </w:rPr>
        <w:t>Tổ chức thực hiện</w:t>
      </w:r>
    </w:p>
    <w:p w14:paraId="5848D4DB" w14:textId="15EE8984" w:rsidR="00703338" w:rsidRPr="00D83232" w:rsidRDefault="00703338" w:rsidP="00D83232">
      <w:pPr>
        <w:spacing w:before="100" w:after="0" w:line="240" w:lineRule="auto"/>
        <w:ind w:firstLine="567"/>
        <w:jc w:val="both"/>
        <w:rPr>
          <w:bCs/>
          <w:u w:color="000000" w:themeColor="text1"/>
          <w:lang w:val="nl-NL"/>
        </w:rPr>
      </w:pPr>
      <w:r w:rsidRPr="00D83232">
        <w:rPr>
          <w:bCs/>
          <w:u w:color="000000" w:themeColor="text1"/>
          <w:lang w:val="nl-NL"/>
        </w:rPr>
        <w:t>1. Sở Tư pháp và các cơ quan, đơn vị, địa phương liên quan có trách nhiệm tổ chức triển khai, theo dõi, kiểm tra việc thực hiện Quyết định này; tổng hợp các khó khăn, vướng mắc, đề xuất Ủy ban nhân dân tỉnh sửa đổi, bổ sung theo quy định.</w:t>
      </w:r>
    </w:p>
    <w:p w14:paraId="7D1AAB33" w14:textId="385D238D" w:rsidR="00703338" w:rsidRPr="00D83232" w:rsidRDefault="00703338" w:rsidP="00D83232">
      <w:pPr>
        <w:widowControl w:val="0"/>
        <w:tabs>
          <w:tab w:val="left" w:pos="851"/>
        </w:tabs>
        <w:spacing w:before="100" w:after="0" w:line="240" w:lineRule="auto"/>
        <w:ind w:firstLine="567"/>
        <w:jc w:val="both"/>
        <w:rPr>
          <w:bCs/>
          <w:u w:color="000000" w:themeColor="text1"/>
          <w:lang w:val="nl-NL"/>
        </w:rPr>
      </w:pPr>
      <w:r w:rsidRPr="00D83232">
        <w:rPr>
          <w:bCs/>
          <w:u w:color="000000" w:themeColor="text1"/>
          <w:lang w:val="nl-NL"/>
        </w:rPr>
        <w:t xml:space="preserve">2. Trong quá trình thực hiện, nếu có phát sinh vướng mắc, </w:t>
      </w:r>
      <w:r w:rsidRPr="00D83232">
        <w:rPr>
          <w:iCs/>
          <w:u w:color="000000" w:themeColor="text1"/>
        </w:rPr>
        <w:t xml:space="preserve">Ủy ban nhân dân các xã, phường; các tổ chức hành nghề công chứng và các cơ quan, tổ chức, cá nhân liên quan đến hoạt động chứng thực và quản lý nhà nước về chứng thực trên địa bàn tỉnh </w:t>
      </w:r>
      <w:r w:rsidRPr="00D83232">
        <w:rPr>
          <w:bCs/>
          <w:u w:color="000000" w:themeColor="text1"/>
          <w:lang w:val="nl-NL"/>
        </w:rPr>
        <w:t xml:space="preserve">kịp thời phản ánh về Sở Tư pháp </w:t>
      </w:r>
      <w:r w:rsidR="00576F66" w:rsidRPr="00D83232">
        <w:rPr>
          <w:bCs/>
          <w:u w:color="000000" w:themeColor="text1"/>
          <w:lang w:val="nl-NL"/>
        </w:rPr>
        <w:t xml:space="preserve">để </w:t>
      </w:r>
      <w:r w:rsidRPr="00D83232">
        <w:rPr>
          <w:bCs/>
          <w:u w:color="000000" w:themeColor="text1"/>
          <w:lang w:val="nl-NL"/>
        </w:rPr>
        <w:t>tổng hợp báo cáo Ủy ban nhân dân tỉnh để xem xét, chỉ đạo.</w:t>
      </w:r>
    </w:p>
    <w:p w14:paraId="0326B4F9" w14:textId="58B990E8" w:rsidR="00703338" w:rsidRPr="00D83232" w:rsidRDefault="00703338" w:rsidP="00D83232">
      <w:pPr>
        <w:pStyle w:val="ListParagraph"/>
        <w:tabs>
          <w:tab w:val="left" w:pos="851"/>
        </w:tabs>
        <w:spacing w:before="120"/>
        <w:ind w:left="0" w:firstLine="567"/>
        <w:contextualSpacing w:val="0"/>
        <w:jc w:val="both"/>
        <w:rPr>
          <w:bCs/>
          <w:sz w:val="28"/>
          <w:szCs w:val="28"/>
          <w:u w:color="000000" w:themeColor="text1"/>
          <w:lang w:val="nl-NL"/>
        </w:rPr>
      </w:pPr>
      <w:r w:rsidRPr="00D83232">
        <w:rPr>
          <w:sz w:val="28"/>
          <w:szCs w:val="28"/>
          <w:u w:color="000000" w:themeColor="text1"/>
        </w:rPr>
        <w:lastRenderedPageBreak/>
        <w:t xml:space="preserve">3. </w:t>
      </w:r>
      <w:r w:rsidRPr="00D83232">
        <w:rPr>
          <w:sz w:val="28"/>
          <w:szCs w:val="28"/>
          <w:u w:color="000000" w:themeColor="text1"/>
          <w:lang w:val="vi-VN"/>
        </w:rPr>
        <w:t xml:space="preserve">Chánh Văn phòng </w:t>
      </w:r>
      <w:r w:rsidRPr="00D83232">
        <w:rPr>
          <w:sz w:val="28"/>
          <w:szCs w:val="28"/>
          <w:u w:color="000000" w:themeColor="text1"/>
        </w:rPr>
        <w:t>Ủy ban nhân dân</w:t>
      </w:r>
      <w:r w:rsidRPr="00D83232">
        <w:rPr>
          <w:sz w:val="28"/>
          <w:szCs w:val="28"/>
          <w:u w:color="000000" w:themeColor="text1"/>
          <w:lang w:val="vi-VN"/>
        </w:rPr>
        <w:t xml:space="preserve"> tỉnh</w:t>
      </w:r>
      <w:r w:rsidRPr="00D83232">
        <w:rPr>
          <w:sz w:val="28"/>
          <w:szCs w:val="28"/>
          <w:u w:color="000000" w:themeColor="text1"/>
        </w:rPr>
        <w:t>;</w:t>
      </w:r>
      <w:r w:rsidRPr="00D83232">
        <w:rPr>
          <w:sz w:val="28"/>
          <w:szCs w:val="28"/>
          <w:u w:color="000000" w:themeColor="text1"/>
          <w:lang w:val="vi-VN"/>
        </w:rPr>
        <w:t xml:space="preserve"> </w:t>
      </w:r>
      <w:r w:rsidRPr="00D83232">
        <w:rPr>
          <w:sz w:val="28"/>
          <w:szCs w:val="28"/>
          <w:u w:color="000000" w:themeColor="text1"/>
        </w:rPr>
        <w:t>Thủ trưởng các sở, ban, ngành tỉnh; Chủ tịch</w:t>
      </w:r>
      <w:r w:rsidRPr="00D83232">
        <w:rPr>
          <w:sz w:val="28"/>
          <w:szCs w:val="28"/>
          <w:u w:color="000000" w:themeColor="text1"/>
          <w:lang w:val="vi-VN"/>
        </w:rPr>
        <w:t xml:space="preserve"> </w:t>
      </w:r>
      <w:r w:rsidRPr="00D83232">
        <w:rPr>
          <w:sz w:val="28"/>
          <w:szCs w:val="28"/>
          <w:u w:color="000000" w:themeColor="text1"/>
        </w:rPr>
        <w:t>Ủy ban nhân dân</w:t>
      </w:r>
      <w:r w:rsidRPr="00D83232">
        <w:rPr>
          <w:sz w:val="28"/>
          <w:szCs w:val="28"/>
          <w:u w:color="000000" w:themeColor="text1"/>
          <w:lang w:val="vi-VN"/>
        </w:rPr>
        <w:t xml:space="preserve"> </w:t>
      </w:r>
      <w:r w:rsidRPr="00D83232">
        <w:rPr>
          <w:sz w:val="28"/>
          <w:szCs w:val="28"/>
          <w:u w:color="000000" w:themeColor="text1"/>
        </w:rPr>
        <w:t xml:space="preserve">các </w:t>
      </w:r>
      <w:r w:rsidRPr="00D83232">
        <w:rPr>
          <w:sz w:val="28"/>
          <w:szCs w:val="28"/>
          <w:u w:color="000000" w:themeColor="text1"/>
          <w:lang w:val="vi-VN"/>
        </w:rPr>
        <w:t>xã,</w:t>
      </w:r>
      <w:r w:rsidRPr="00D83232">
        <w:rPr>
          <w:sz w:val="28"/>
          <w:szCs w:val="28"/>
          <w:u w:color="000000" w:themeColor="text1"/>
        </w:rPr>
        <w:t xml:space="preserve"> phường </w:t>
      </w:r>
      <w:r w:rsidRPr="00D83232">
        <w:rPr>
          <w:sz w:val="28"/>
          <w:szCs w:val="28"/>
          <w:u w:color="000000" w:themeColor="text1"/>
          <w:lang w:val="vi-VN"/>
        </w:rPr>
        <w:t xml:space="preserve">và các tổ chức, cá nhân </w:t>
      </w:r>
      <w:r w:rsidRPr="00D83232">
        <w:rPr>
          <w:sz w:val="28"/>
          <w:szCs w:val="28"/>
          <w:u w:color="000000" w:themeColor="text1"/>
        </w:rPr>
        <w:t xml:space="preserve">có </w:t>
      </w:r>
      <w:r w:rsidRPr="00D83232">
        <w:rPr>
          <w:sz w:val="28"/>
          <w:szCs w:val="28"/>
          <w:u w:color="000000" w:themeColor="text1"/>
          <w:lang w:val="vi-VN"/>
        </w:rPr>
        <w:t xml:space="preserve">liên quan </w:t>
      </w:r>
      <w:r w:rsidRPr="00D83232">
        <w:rPr>
          <w:sz w:val="28"/>
          <w:szCs w:val="28"/>
          <w:u w:color="000000" w:themeColor="text1"/>
        </w:rPr>
        <w:t xml:space="preserve">chịu trách nhiệm thi hành </w:t>
      </w:r>
      <w:r w:rsidRPr="00D83232">
        <w:rPr>
          <w:sz w:val="28"/>
          <w:szCs w:val="28"/>
          <w:u w:color="000000" w:themeColor="text1"/>
          <w:lang w:val="vi-VN"/>
        </w:rPr>
        <w:t xml:space="preserve">Quyết định </w:t>
      </w:r>
      <w:r w:rsidRPr="00D83232">
        <w:rPr>
          <w:sz w:val="28"/>
          <w:szCs w:val="28"/>
          <w:u w:color="000000" w:themeColor="text1"/>
        </w:rPr>
        <w:t>này.</w:t>
      </w:r>
    </w:p>
    <w:p w14:paraId="54F96232" w14:textId="77777777" w:rsidR="00226896" w:rsidRPr="00D83232" w:rsidRDefault="00226896" w:rsidP="00D83232">
      <w:pPr>
        <w:spacing w:after="0" w:line="240" w:lineRule="auto"/>
        <w:jc w:val="both"/>
        <w:rPr>
          <w:u w:color="000000" w:themeColor="text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5211"/>
      </w:tblGrid>
      <w:tr w:rsidR="0049723C" w:rsidRPr="00D83232" w14:paraId="7A243441" w14:textId="77777777" w:rsidTr="00D83232">
        <w:trPr>
          <w:trHeight w:val="1322"/>
        </w:trPr>
        <w:tc>
          <w:tcPr>
            <w:tcW w:w="2356" w:type="pct"/>
          </w:tcPr>
          <w:p w14:paraId="4E04C0A7" w14:textId="2124D7D5" w:rsidR="008B63BA" w:rsidRPr="00D83232" w:rsidRDefault="008B63BA" w:rsidP="00D83232">
            <w:pPr>
              <w:pStyle w:val="NormalWeb"/>
              <w:spacing w:before="0" w:beforeAutospacing="0" w:after="0" w:afterAutospacing="0"/>
              <w:jc w:val="both"/>
              <w:rPr>
                <w:sz w:val="28"/>
                <w:szCs w:val="28"/>
                <w:u w:color="000000" w:themeColor="text1"/>
              </w:rPr>
            </w:pPr>
          </w:p>
        </w:tc>
        <w:tc>
          <w:tcPr>
            <w:tcW w:w="2644" w:type="pct"/>
          </w:tcPr>
          <w:p w14:paraId="30535437" w14:textId="77777777" w:rsidR="00703338" w:rsidRPr="00D83232" w:rsidRDefault="00E06537" w:rsidP="00D83232">
            <w:pPr>
              <w:jc w:val="center"/>
              <w:rPr>
                <w:b/>
                <w:u w:color="000000" w:themeColor="text1"/>
              </w:rPr>
            </w:pPr>
            <w:r w:rsidRPr="00D83232">
              <w:rPr>
                <w:b/>
                <w:u w:color="000000" w:themeColor="text1"/>
              </w:rPr>
              <w:t xml:space="preserve"> </w:t>
            </w:r>
            <w:r w:rsidR="00703338" w:rsidRPr="00D83232">
              <w:rPr>
                <w:b/>
                <w:u w:color="000000" w:themeColor="text1"/>
              </w:rPr>
              <w:t>TM. ỦY BAN NHÂN DÂN</w:t>
            </w:r>
          </w:p>
          <w:p w14:paraId="275F998A" w14:textId="6B261DD5" w:rsidR="00634822" w:rsidRPr="00D83232" w:rsidRDefault="00F97BDF" w:rsidP="00D83232">
            <w:pPr>
              <w:jc w:val="center"/>
              <w:rPr>
                <w:b/>
                <w:u w:color="000000" w:themeColor="text1"/>
              </w:rPr>
            </w:pPr>
            <w:r w:rsidRPr="00D83232">
              <w:rPr>
                <w:b/>
                <w:u w:color="000000" w:themeColor="text1"/>
              </w:rPr>
              <w:t>CHỦ TỊCH</w:t>
            </w:r>
            <w:r w:rsidR="00E06537" w:rsidRPr="00D83232">
              <w:rPr>
                <w:b/>
                <w:u w:color="000000" w:themeColor="text1"/>
              </w:rPr>
              <w:t xml:space="preserve"> </w:t>
            </w:r>
          </w:p>
          <w:p w14:paraId="7B939209" w14:textId="77777777" w:rsidR="009C170E" w:rsidRPr="00D83232" w:rsidRDefault="009C170E" w:rsidP="00D83232">
            <w:pPr>
              <w:jc w:val="center"/>
              <w:rPr>
                <w:b/>
                <w:u w:color="000000" w:themeColor="text1"/>
              </w:rPr>
            </w:pPr>
          </w:p>
          <w:p w14:paraId="6756706F" w14:textId="7828769E" w:rsidR="0049723C" w:rsidRPr="00D83232" w:rsidRDefault="00F97BDF" w:rsidP="00D83232">
            <w:pPr>
              <w:jc w:val="center"/>
              <w:rPr>
                <w:b/>
                <w:u w:color="000000" w:themeColor="text1"/>
              </w:rPr>
            </w:pPr>
            <w:r w:rsidRPr="00D83232">
              <w:rPr>
                <w:b/>
                <w:u w:color="000000" w:themeColor="text1"/>
              </w:rPr>
              <w:t xml:space="preserve"> </w:t>
            </w:r>
            <w:r w:rsidR="00C4223A" w:rsidRPr="00D83232">
              <w:rPr>
                <w:b/>
                <w:u w:color="000000" w:themeColor="text1"/>
              </w:rPr>
              <w:t>Võ Tấn Đức</w:t>
            </w:r>
          </w:p>
        </w:tc>
      </w:tr>
    </w:tbl>
    <w:p w14:paraId="2C09857F" w14:textId="1D78C073" w:rsidR="00E15342" w:rsidRPr="00D83232" w:rsidRDefault="00E15342" w:rsidP="00D83232">
      <w:pPr>
        <w:tabs>
          <w:tab w:val="left" w:pos="6015"/>
        </w:tabs>
        <w:spacing w:before="120" w:after="0" w:line="240" w:lineRule="auto"/>
        <w:ind w:firstLine="567"/>
        <w:rPr>
          <w:u w:color="000000" w:themeColor="text1"/>
        </w:rPr>
      </w:pPr>
    </w:p>
    <w:sectPr w:rsidR="00E15342" w:rsidRPr="00D83232" w:rsidSect="00D83232">
      <w:headerReference w:type="default" r:id="rId8"/>
      <w:footerReference w:type="default" r:id="rId9"/>
      <w:footerReference w:type="first" r:id="rId10"/>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E0ED" w14:textId="77777777" w:rsidR="00F54F99" w:rsidRDefault="00F54F99" w:rsidP="002D7064">
      <w:pPr>
        <w:spacing w:after="0" w:line="240" w:lineRule="auto"/>
      </w:pPr>
      <w:r>
        <w:separator/>
      </w:r>
    </w:p>
  </w:endnote>
  <w:endnote w:type="continuationSeparator" w:id="0">
    <w:p w14:paraId="4EB554F7" w14:textId="77777777" w:rsidR="00F54F99" w:rsidRDefault="00F54F99"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4F1D" w14:textId="77777777" w:rsidR="00D83232" w:rsidRDefault="00D83232" w:rsidP="00D8323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F480" w14:textId="08C1CD36" w:rsidR="0049723C" w:rsidRPr="00B475E1" w:rsidRDefault="0049723C" w:rsidP="0049723C">
    <w:pPr>
      <w:pStyle w:val="Footer"/>
      <w:rPr>
        <w:sz w:val="22"/>
        <w:szCs w:val="22"/>
      </w:rPr>
    </w:pPr>
    <w:r w:rsidRPr="00B475E1">
      <w:rPr>
        <w:noProof/>
        <w:sz w:val="22"/>
        <w:szCs w:val="22"/>
        <w:lang w:val="en-US"/>
      </w:rPr>
      <mc:AlternateContent>
        <mc:Choice Requires="wps">
          <w:drawing>
            <wp:anchor distT="0" distB="0" distL="114300" distR="114300" simplePos="0" relativeHeight="251659264" behindDoc="0" locked="0" layoutInCell="1" allowOverlap="1" wp14:anchorId="4560806F" wp14:editId="222C0E5F">
              <wp:simplePos x="0" y="0"/>
              <wp:positionH relativeFrom="column">
                <wp:posOffset>15240</wp:posOffset>
              </wp:positionH>
              <wp:positionV relativeFrom="paragraph">
                <wp:posOffset>-26670</wp:posOffset>
              </wp:positionV>
              <wp:extent cx="5734050" cy="0"/>
              <wp:effectExtent l="5715" t="11430" r="1333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A6AAE3" id="_x0000_t32" coordsize="21600,21600" o:spt="32" o:oned="t" path="m,l21600,21600e" filled="f">
              <v:path arrowok="t" fillok="f" o:connecttype="none"/>
              <o:lock v:ext="edit" shapetype="t"/>
            </v:shapetype>
            <v:shape id="Straight Arrow Connector 1" o:spid="_x0000_s1026" type="#_x0000_t32" style="position:absolute;margin-left:1.2pt;margin-top:-2.1pt;width:4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"/>
          </w:pict>
        </mc:Fallback>
      </mc:AlternateContent>
    </w:r>
    <w:r w:rsidRPr="00B475E1">
      <w:rPr>
        <w:sz w:val="22"/>
        <w:szCs w:val="22"/>
      </w:rPr>
      <w:t>Địa chỉ: Số 02, đường Nguyễn Văn Trị, phường</w:t>
    </w:r>
    <w:r w:rsidR="000F69A8">
      <w:rPr>
        <w:sz w:val="22"/>
        <w:szCs w:val="22"/>
      </w:rPr>
      <w:t xml:space="preserve"> Trấn Biên</w:t>
    </w:r>
    <w:r w:rsidRPr="00B475E1">
      <w:rPr>
        <w:sz w:val="22"/>
        <w:szCs w:val="22"/>
      </w:rPr>
      <w:t>, tỉnh Đồng Nai.</w:t>
    </w:r>
  </w:p>
  <w:p w14:paraId="2D30A5F9" w14:textId="77777777" w:rsidR="0049723C" w:rsidRPr="00B475E1" w:rsidRDefault="0049723C" w:rsidP="0049723C">
    <w:pPr>
      <w:pStyle w:val="Footer"/>
      <w:rPr>
        <w:sz w:val="22"/>
        <w:szCs w:val="22"/>
      </w:rPr>
    </w:pPr>
    <w:r w:rsidRPr="00B475E1">
      <w:rPr>
        <w:sz w:val="22"/>
        <w:szCs w:val="22"/>
      </w:rPr>
      <w:t>SĐT: (0251) 3822501 – FAX: (0251) 3823854 – 3824934.</w:t>
    </w:r>
  </w:p>
  <w:p w14:paraId="3E5C0245" w14:textId="77777777" w:rsidR="0049723C" w:rsidRDefault="0049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7D75" w14:textId="77777777" w:rsidR="00F54F99" w:rsidRDefault="00F54F99" w:rsidP="002D7064">
      <w:pPr>
        <w:spacing w:after="0" w:line="240" w:lineRule="auto"/>
      </w:pPr>
      <w:r>
        <w:separator/>
      </w:r>
    </w:p>
  </w:footnote>
  <w:footnote w:type="continuationSeparator" w:id="0">
    <w:p w14:paraId="24E52431" w14:textId="77777777" w:rsidR="00F54F99" w:rsidRDefault="00F54F99" w:rsidP="002D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6345" w14:textId="2ABE9B4F" w:rsidR="002D7064" w:rsidRDefault="002D7064" w:rsidP="00D83232">
    <w:pPr>
      <w:pStyle w:val="Header"/>
      <w:jc w:val="center"/>
    </w:pPr>
  </w:p>
  <w:p w14:paraId="1F7D28F5" w14:textId="77777777" w:rsidR="002D7064" w:rsidRDefault="002D7064" w:rsidP="00D832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15:restartNumberingAfterBreak="0">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15:restartNumberingAfterBreak="0">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15:restartNumberingAfterBreak="0">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15:restartNumberingAfterBreak="0">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15:restartNumberingAfterBreak="0">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15:restartNumberingAfterBreak="0">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15:restartNumberingAfterBreak="0">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15:restartNumberingAfterBreak="0">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15:restartNumberingAfterBreak="0">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15:restartNumberingAfterBreak="0">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15:restartNumberingAfterBreak="0">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15:restartNumberingAfterBreak="0">
    <w:nsid w:val="7CE816FB"/>
    <w:multiLevelType w:val="hybridMultilevel"/>
    <w:tmpl w:val="EEA01972"/>
    <w:lvl w:ilvl="0" w:tplc="612C5E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2"/>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74"/>
    <w:rsid w:val="00003627"/>
    <w:rsid w:val="00015642"/>
    <w:rsid w:val="00020038"/>
    <w:rsid w:val="00047091"/>
    <w:rsid w:val="00047DBE"/>
    <w:rsid w:val="000522D6"/>
    <w:rsid w:val="000542E8"/>
    <w:rsid w:val="000631BD"/>
    <w:rsid w:val="00065C42"/>
    <w:rsid w:val="0008580A"/>
    <w:rsid w:val="000D0BFF"/>
    <w:rsid w:val="000E33B4"/>
    <w:rsid w:val="000F69A8"/>
    <w:rsid w:val="00107195"/>
    <w:rsid w:val="0011083D"/>
    <w:rsid w:val="00140B3F"/>
    <w:rsid w:val="00147A9E"/>
    <w:rsid w:val="00157CC4"/>
    <w:rsid w:val="0017367D"/>
    <w:rsid w:val="00187D5D"/>
    <w:rsid w:val="0019406F"/>
    <w:rsid w:val="001A209D"/>
    <w:rsid w:val="001A26A5"/>
    <w:rsid w:val="00203DEF"/>
    <w:rsid w:val="00204B93"/>
    <w:rsid w:val="00226896"/>
    <w:rsid w:val="002313C3"/>
    <w:rsid w:val="002343D7"/>
    <w:rsid w:val="00243698"/>
    <w:rsid w:val="00255F74"/>
    <w:rsid w:val="002625A5"/>
    <w:rsid w:val="00273703"/>
    <w:rsid w:val="002D4520"/>
    <w:rsid w:val="002D7064"/>
    <w:rsid w:val="002E2F44"/>
    <w:rsid w:val="00302E23"/>
    <w:rsid w:val="00343B58"/>
    <w:rsid w:val="003A4A1B"/>
    <w:rsid w:val="003B509C"/>
    <w:rsid w:val="003C660B"/>
    <w:rsid w:val="003C6868"/>
    <w:rsid w:val="003D5DAB"/>
    <w:rsid w:val="00410195"/>
    <w:rsid w:val="004603C5"/>
    <w:rsid w:val="00466144"/>
    <w:rsid w:val="00466AC7"/>
    <w:rsid w:val="0049723C"/>
    <w:rsid w:val="00497B7D"/>
    <w:rsid w:val="004D13F3"/>
    <w:rsid w:val="004F063D"/>
    <w:rsid w:val="00526246"/>
    <w:rsid w:val="00576F66"/>
    <w:rsid w:val="0059215A"/>
    <w:rsid w:val="005A752B"/>
    <w:rsid w:val="005E1DDE"/>
    <w:rsid w:val="005E5A35"/>
    <w:rsid w:val="005F5C7A"/>
    <w:rsid w:val="0061219A"/>
    <w:rsid w:val="00612349"/>
    <w:rsid w:val="0061234C"/>
    <w:rsid w:val="0061406C"/>
    <w:rsid w:val="00634822"/>
    <w:rsid w:val="006352CF"/>
    <w:rsid w:val="00640632"/>
    <w:rsid w:val="006471BB"/>
    <w:rsid w:val="006654D8"/>
    <w:rsid w:val="006B5473"/>
    <w:rsid w:val="006D431B"/>
    <w:rsid w:val="006D6B1F"/>
    <w:rsid w:val="006E4576"/>
    <w:rsid w:val="006F782F"/>
    <w:rsid w:val="00703338"/>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703D"/>
    <w:rsid w:val="008908D1"/>
    <w:rsid w:val="008A5823"/>
    <w:rsid w:val="008B63BA"/>
    <w:rsid w:val="008F4957"/>
    <w:rsid w:val="008F4C00"/>
    <w:rsid w:val="009040A4"/>
    <w:rsid w:val="00912F62"/>
    <w:rsid w:val="00934135"/>
    <w:rsid w:val="00965AA9"/>
    <w:rsid w:val="009C170E"/>
    <w:rsid w:val="009D3FDC"/>
    <w:rsid w:val="009E067D"/>
    <w:rsid w:val="00A1042C"/>
    <w:rsid w:val="00A10906"/>
    <w:rsid w:val="00A248D6"/>
    <w:rsid w:val="00A378FF"/>
    <w:rsid w:val="00A416B0"/>
    <w:rsid w:val="00A44FB9"/>
    <w:rsid w:val="00A53499"/>
    <w:rsid w:val="00A635F8"/>
    <w:rsid w:val="00A7572C"/>
    <w:rsid w:val="00A9014B"/>
    <w:rsid w:val="00AA6D9A"/>
    <w:rsid w:val="00AD3FEB"/>
    <w:rsid w:val="00AF6E5D"/>
    <w:rsid w:val="00B11719"/>
    <w:rsid w:val="00B475E1"/>
    <w:rsid w:val="00B54671"/>
    <w:rsid w:val="00B67A4C"/>
    <w:rsid w:val="00BC331E"/>
    <w:rsid w:val="00BD1008"/>
    <w:rsid w:val="00BE3F55"/>
    <w:rsid w:val="00C061D7"/>
    <w:rsid w:val="00C26CD4"/>
    <w:rsid w:val="00C35F33"/>
    <w:rsid w:val="00C4057B"/>
    <w:rsid w:val="00C4223A"/>
    <w:rsid w:val="00C61BC0"/>
    <w:rsid w:val="00C70E7F"/>
    <w:rsid w:val="00C952D0"/>
    <w:rsid w:val="00CE2076"/>
    <w:rsid w:val="00CE5681"/>
    <w:rsid w:val="00CE6702"/>
    <w:rsid w:val="00D50BB3"/>
    <w:rsid w:val="00D7017B"/>
    <w:rsid w:val="00D83232"/>
    <w:rsid w:val="00D83B83"/>
    <w:rsid w:val="00D87E3E"/>
    <w:rsid w:val="00D9457F"/>
    <w:rsid w:val="00DC5B54"/>
    <w:rsid w:val="00DE5893"/>
    <w:rsid w:val="00E01E47"/>
    <w:rsid w:val="00E06537"/>
    <w:rsid w:val="00E15342"/>
    <w:rsid w:val="00EC368B"/>
    <w:rsid w:val="00EE1FD5"/>
    <w:rsid w:val="00EF0CAD"/>
    <w:rsid w:val="00EF20F2"/>
    <w:rsid w:val="00F0537E"/>
    <w:rsid w:val="00F24078"/>
    <w:rsid w:val="00F346C8"/>
    <w:rsid w:val="00F45855"/>
    <w:rsid w:val="00F54F99"/>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15:docId w15:val="{FC9B1535-BE38-49EF-9A72-8A21FE4F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 w:type="paragraph" w:styleId="ListParagraph">
    <w:name w:val="List Paragraph"/>
    <w:basedOn w:val="Normal"/>
    <w:uiPriority w:val="34"/>
    <w:qFormat/>
    <w:rsid w:val="00703338"/>
    <w:pPr>
      <w:spacing w:after="0" w:line="240" w:lineRule="auto"/>
      <w:ind w:left="720"/>
      <w:contextualSpacing/>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45ED-43D7-4B42-84D5-8416FB6A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User</cp:lastModifiedBy>
  <cp:revision>8</cp:revision>
  <cp:lastPrinted>2025-10-23T08:30:00Z</cp:lastPrinted>
  <dcterms:created xsi:type="dcterms:W3CDTF">2025-10-10T00:55:00Z</dcterms:created>
  <dcterms:modified xsi:type="dcterms:W3CDTF">2025-10-28T04:29:00Z</dcterms:modified>
</cp:coreProperties>
</file>