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4" w:type="dxa"/>
        <w:tblInd w:w="93" w:type="dxa"/>
        <w:tblLook w:val="04A0" w:firstRow="1" w:lastRow="0" w:firstColumn="1" w:lastColumn="0" w:noHBand="0" w:noVBand="1"/>
      </w:tblPr>
      <w:tblGrid>
        <w:gridCol w:w="636"/>
        <w:gridCol w:w="5960"/>
        <w:gridCol w:w="1499"/>
        <w:gridCol w:w="1559"/>
      </w:tblGrid>
      <w:tr w:rsidR="00C4759C" w:rsidRPr="00C4759C" w:rsidTr="00C4759C">
        <w:trPr>
          <w:trHeight w:val="20"/>
        </w:trPr>
        <w:tc>
          <w:tcPr>
            <w:tcW w:w="9654" w:type="dxa"/>
            <w:gridSpan w:val="4"/>
            <w:tcBorders>
              <w:top w:val="nil"/>
              <w:left w:val="nil"/>
              <w:bottom w:val="nil"/>
              <w:right w:val="nil"/>
            </w:tcBorders>
            <w:shd w:val="clear" w:color="auto" w:fill="auto"/>
            <w:noWrap/>
            <w:vAlign w:val="bottom"/>
            <w:hideMark/>
          </w:tcPr>
          <w:p w:rsidR="00C4759C" w:rsidRPr="00AA66F1" w:rsidRDefault="00C4759C" w:rsidP="00C4759C">
            <w:pPr>
              <w:spacing w:before="0" w:line="240" w:lineRule="auto"/>
              <w:jc w:val="center"/>
              <w:rPr>
                <w:rFonts w:eastAsia="Times New Roman" w:cs="Times New Roman"/>
                <w:b/>
                <w:bCs/>
                <w:color w:val="000000"/>
                <w:sz w:val="26"/>
                <w:szCs w:val="26"/>
              </w:rPr>
            </w:pPr>
            <w:bookmarkStart w:id="0" w:name="RANGE!A1:D136"/>
            <w:r w:rsidRPr="00AA66F1">
              <w:rPr>
                <w:rFonts w:eastAsia="Times New Roman" w:cs="Times New Roman"/>
                <w:b/>
                <w:bCs/>
                <w:color w:val="000000"/>
                <w:sz w:val="26"/>
                <w:szCs w:val="26"/>
              </w:rPr>
              <w:t>Biểu mẫu số 11.9</w:t>
            </w:r>
            <w:bookmarkEnd w:id="0"/>
          </w:p>
        </w:tc>
      </w:tr>
      <w:tr w:rsidR="00C4759C" w:rsidRPr="00C4759C" w:rsidTr="00C4759C">
        <w:trPr>
          <w:trHeight w:val="20"/>
        </w:trPr>
        <w:tc>
          <w:tcPr>
            <w:tcW w:w="9654" w:type="dxa"/>
            <w:gridSpan w:val="4"/>
            <w:tcBorders>
              <w:top w:val="nil"/>
              <w:left w:val="nil"/>
              <w:bottom w:val="nil"/>
              <w:right w:val="nil"/>
            </w:tcBorders>
            <w:shd w:val="clear" w:color="auto" w:fill="auto"/>
            <w:noWrap/>
            <w:vAlign w:val="bottom"/>
            <w:hideMark/>
          </w:tcPr>
          <w:p w:rsidR="00C4759C" w:rsidRPr="00AA66F1" w:rsidRDefault="00C4759C" w:rsidP="00C4759C">
            <w:pPr>
              <w:spacing w:before="0" w:line="240" w:lineRule="auto"/>
              <w:jc w:val="center"/>
              <w:rPr>
                <w:rFonts w:eastAsia="Times New Roman" w:cs="Times New Roman"/>
                <w:b/>
                <w:bCs/>
                <w:color w:val="000000"/>
                <w:sz w:val="26"/>
                <w:szCs w:val="26"/>
              </w:rPr>
            </w:pPr>
            <w:r w:rsidRPr="00AA66F1">
              <w:rPr>
                <w:rFonts w:eastAsia="Times New Roman" w:cs="Times New Roman"/>
                <w:b/>
                <w:bCs/>
                <w:color w:val="000000"/>
                <w:sz w:val="26"/>
                <w:szCs w:val="26"/>
              </w:rPr>
              <w:t>TỔNG HỢP KẾT QUẢ VỀ CÔNG TÁC PHÒNG, CHỐNG THAM NHŨNG</w:t>
            </w:r>
          </w:p>
        </w:tc>
      </w:tr>
      <w:tr w:rsidR="00C4759C" w:rsidRPr="00C4759C" w:rsidTr="00C4759C">
        <w:trPr>
          <w:trHeight w:val="20"/>
        </w:trPr>
        <w:tc>
          <w:tcPr>
            <w:tcW w:w="9654" w:type="dxa"/>
            <w:gridSpan w:val="4"/>
            <w:tcBorders>
              <w:top w:val="nil"/>
              <w:left w:val="nil"/>
              <w:bottom w:val="nil"/>
              <w:right w:val="nil"/>
            </w:tcBorders>
            <w:shd w:val="clear" w:color="auto" w:fill="auto"/>
            <w:vAlign w:val="center"/>
            <w:hideMark/>
          </w:tcPr>
          <w:p w:rsidR="00C4759C" w:rsidRPr="00AA66F1" w:rsidRDefault="00C4759C" w:rsidP="00C4759C">
            <w:pPr>
              <w:spacing w:before="0" w:line="240" w:lineRule="auto"/>
              <w:jc w:val="center"/>
              <w:rPr>
                <w:rFonts w:eastAsia="Times New Roman" w:cs="Times New Roman"/>
                <w:i/>
                <w:iCs/>
                <w:color w:val="000000"/>
                <w:sz w:val="26"/>
                <w:szCs w:val="26"/>
              </w:rPr>
            </w:pPr>
            <w:r w:rsidRPr="00AA66F1">
              <w:rPr>
                <w:rFonts w:eastAsia="Times New Roman" w:cs="Times New Roman"/>
                <w:i/>
                <w:iCs/>
                <w:color w:val="000000"/>
                <w:sz w:val="26"/>
                <w:szCs w:val="26"/>
              </w:rPr>
              <w:t>Số liệu tính từ ngày……</w:t>
            </w:r>
          </w:p>
        </w:tc>
      </w:tr>
      <w:tr w:rsidR="00C4759C" w:rsidRPr="00C4759C" w:rsidTr="00C4759C">
        <w:trPr>
          <w:trHeight w:val="20"/>
        </w:trPr>
        <w:tc>
          <w:tcPr>
            <w:tcW w:w="9654" w:type="dxa"/>
            <w:gridSpan w:val="4"/>
            <w:tcBorders>
              <w:top w:val="nil"/>
              <w:left w:val="nil"/>
              <w:bottom w:val="nil"/>
              <w:right w:val="nil"/>
            </w:tcBorders>
            <w:shd w:val="clear" w:color="auto" w:fill="auto"/>
            <w:vAlign w:val="center"/>
            <w:hideMark/>
          </w:tcPr>
          <w:p w:rsidR="00C4759C" w:rsidRPr="00AA66F1" w:rsidRDefault="00C4759C" w:rsidP="00C4759C">
            <w:pPr>
              <w:spacing w:before="0" w:line="240" w:lineRule="auto"/>
              <w:jc w:val="center"/>
              <w:rPr>
                <w:rFonts w:eastAsia="Times New Roman" w:cs="Times New Roman"/>
                <w:i/>
                <w:iCs/>
                <w:color w:val="000000"/>
                <w:sz w:val="26"/>
                <w:szCs w:val="26"/>
              </w:rPr>
            </w:pPr>
            <w:r w:rsidRPr="00AA66F1">
              <w:rPr>
                <w:rFonts w:eastAsia="Times New Roman" w:cs="Times New Roman"/>
                <w:i/>
                <w:iCs/>
                <w:color w:val="000000"/>
                <w:sz w:val="26"/>
                <w:szCs w:val="26"/>
              </w:rPr>
              <w:t>(Kèm theo Báo cáo số: ……..)</w:t>
            </w:r>
          </w:p>
          <w:p w:rsidR="00C4759C" w:rsidRPr="00AA66F1" w:rsidRDefault="00C4759C" w:rsidP="00C4759C">
            <w:pPr>
              <w:spacing w:before="0" w:line="240" w:lineRule="auto"/>
              <w:jc w:val="center"/>
              <w:rPr>
                <w:rFonts w:eastAsia="Times New Roman" w:cs="Times New Roman"/>
                <w:i/>
                <w:iCs/>
                <w:color w:val="000000"/>
                <w:sz w:val="26"/>
                <w:szCs w:val="26"/>
              </w:rPr>
            </w:pPr>
          </w:p>
        </w:tc>
      </w:tr>
      <w:tr w:rsidR="00C4759C" w:rsidRPr="00C4759C" w:rsidTr="00C4759C">
        <w:trPr>
          <w:trHeight w:val="20"/>
        </w:trPr>
        <w:tc>
          <w:tcPr>
            <w:tcW w:w="636" w:type="dxa"/>
            <w:tcBorders>
              <w:top w:val="nil"/>
              <w:left w:val="nil"/>
              <w:bottom w:val="single" w:sz="4" w:space="0" w:color="auto"/>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5960" w:type="dxa"/>
            <w:tcBorders>
              <w:top w:val="nil"/>
              <w:left w:val="nil"/>
              <w:bottom w:val="single" w:sz="4" w:space="0" w:color="auto"/>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499" w:type="dxa"/>
            <w:tcBorders>
              <w:top w:val="nil"/>
              <w:left w:val="nil"/>
              <w:bottom w:val="single" w:sz="4" w:space="0" w:color="auto"/>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559" w:type="dxa"/>
            <w:tcBorders>
              <w:top w:val="nil"/>
              <w:left w:val="nil"/>
              <w:bottom w:val="single" w:sz="4" w:space="0" w:color="auto"/>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MS</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NỘI DUNG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ĐVT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SỐ LIỆU</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rPr>
                <w:rFonts w:eastAsia="Times New Roman" w:cs="Times New Roman"/>
                <w:b/>
                <w:bCs/>
                <w:color w:val="000000"/>
                <w:sz w:val="24"/>
                <w:szCs w:val="24"/>
              </w:rPr>
            </w:pPr>
            <w:r w:rsidRPr="00C4759C">
              <w:rPr>
                <w:rFonts w:eastAsia="Times New Roman" w:cs="Times New Roman"/>
                <w:b/>
                <w:bCs/>
                <w:color w:val="000000"/>
                <w:sz w:val="24"/>
                <w:szCs w:val="24"/>
              </w:rPr>
              <w:t>CHÍNH SÁCH, PHÁP LUẬT</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văn bản ban hành mới để thực hiện Luật PCTN và các văn bản hướng dẫn thi hành Luât PCTN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Văn bản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văn bản được sửa đổi, bổ sung để thực hiện Luật PCTN và các văn bản hướng dẫn thi hành</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Văn bản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văn bản được bãi bỏ để thực hiện Luật PCTN và các văn bản hướng dẫn thi hành</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Văn bản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both"/>
              <w:rPr>
                <w:rFonts w:eastAsia="Times New Roman" w:cs="Times New Roman"/>
                <w:b/>
                <w:bCs/>
                <w:color w:val="000000"/>
                <w:sz w:val="24"/>
                <w:szCs w:val="24"/>
              </w:rPr>
            </w:pPr>
            <w:r w:rsidRPr="00C4759C">
              <w:rPr>
                <w:rFonts w:eastAsia="Times New Roman" w:cs="Times New Roman"/>
                <w:b/>
                <w:bCs/>
                <w:color w:val="000000"/>
                <w:sz w:val="24"/>
                <w:szCs w:val="24"/>
              </w:rPr>
              <w:t>TUYÊN TRUYỀN, PHỔ BIẾN, GIÁO DỤC PHÁP LUẬT VỀ PCTN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lớp tuyên truyền, quán triệt pháp luật về phòng, chống tham nhũng được tổ chức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Lớp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lượt cán bộ, công chức, viên chức, nhân dân tham gia các lớp tập huấn, quán triệt pháp luật về PCTN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Lượt 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lượng đầu sách, tài liệu về pháp luật phòng, chống tham nhũng được xuất bản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Tài liệu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both"/>
              <w:rPr>
                <w:rFonts w:eastAsia="Times New Roman" w:cs="Times New Roman"/>
                <w:b/>
                <w:bCs/>
                <w:color w:val="000000"/>
                <w:sz w:val="24"/>
                <w:szCs w:val="24"/>
              </w:rPr>
            </w:pPr>
            <w:r w:rsidRPr="00C4759C">
              <w:rPr>
                <w:rFonts w:eastAsia="Times New Roman" w:cs="Times New Roman"/>
                <w:b/>
                <w:bCs/>
                <w:color w:val="000000"/>
                <w:sz w:val="24"/>
                <w:szCs w:val="24"/>
              </w:rPr>
              <w:t>PHÒNG NGỪA THAM NHŨNG TRONG CƠ QUAN, TỔ CHỨC, ĐƠN VỊ</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Kết quả thực hiện công khai, minh bạch về tổ chức và hoạt động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cơ quan, tổ chức, đơn vị được kiểm tra việc thực hiện các quy định về công khai, minh bạch về tổ chức và hoạt động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CQ, TC, ĐV</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cơ quan, tổ chức, đơn vị bị phát hiện có vi phạm quy định về công khai, minh bạch về tổ chức và hoạt động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CQ, TC, ĐV</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Xây dựng và thực hiện định mức, tiêu chuẩn, chế độ</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văn bản về định mức, tiêu chuẩn, chế độ đã được ban hành mới</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Văn bản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10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văn bản về định mức, tiêu chuẩn, chế độ đã được sửa đổi, bổ sung, bãi bỏ</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Văn bản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11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cuộc thanh tra, kiểm tra việc thực hiện các quy định về định mức, tiêu chuẩn, chế độ</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Cuộc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12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vi phạm các quy định về định mức, tiêu chuẩn, chế độ</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13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vi phạm các quy định về định mức, tiêu chuẩn, chế độ</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14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vi phạm các quy định về định mức, tiêu chuẩn, chế độ đã bị xử lý hành chính</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6B7CF3"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p w:rsidR="00C4759C" w:rsidRPr="006B7CF3" w:rsidRDefault="00C4759C" w:rsidP="006B7CF3">
            <w:pPr>
              <w:rPr>
                <w:rFonts w:eastAsia="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AA66F1">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lastRenderedPageBreak/>
              <w:t>15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vi phạm các quy định về định mức, tiêu chuẩn, chế độ đã bị xử lý hình sự</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16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Tổng giá trị các vi phạm về định mức, tiêu chuẩn, chế độ được kiến nghị thu hồi và bồi thường (tiền Việt Nam + ngoại tệ, tài sản khác được quy đổi ra tiền Việt Nam)</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17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Tổng giá trị vi phạm định mức, tiêu chuẩn, chế độ đã được thu hồi và bồi thường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Thực hiện quy tắc ứng xử của người có chức vụ, quyền hạn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18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cơ quan, tổ chức, đơn vị đã được kiểm tra việc thực hiện quy tắc ứng xử của người có chức vụ, quyền hạn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CQ, TC, ĐV</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19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cán bộ, công chức, viên chức vi phạm quy tắc ứng xử, quy tắc đạo đức nghề nghiệp đã bị xử lý</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đã nộp lại quà tặng cho đơn vị</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Giá trị quà tặng đã được nộp lại (tiền Việt Nam + ngoại tệ, tài sản khác được quy đổi ra tiền Việt Nam)</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bị xử lý do có vi phạm vì xung đột lợi ích</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bị xử lý do có vi phạm về việc kinh doanh trong thời hạn không được kinh doanh sau khi thôi giữ chức vụ</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Chuyển đổi vị trí công tác của người có chức vụ, quyền hạn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cán bộ, công chức, viên chức được chuyển đổi vị trí công tác nhằm phòng ngừa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Cải cách hành chính, ứng dụng khoa học công nghệ trong quản lý và thanh toán không dùng tiền mặt</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B406E0" w:rsidP="00ED7539">
            <w:pPr>
              <w:spacing w:before="40" w:after="40" w:line="240" w:lineRule="auto"/>
              <w:jc w:val="both"/>
              <w:rPr>
                <w:rFonts w:eastAsia="Times New Roman" w:cs="Times New Roman"/>
                <w:color w:val="000000"/>
                <w:sz w:val="24"/>
                <w:szCs w:val="24"/>
              </w:rPr>
            </w:pPr>
            <w:r>
              <w:rPr>
                <w:rFonts w:eastAsia="Times New Roman" w:cs="Times New Roman"/>
                <w:color w:val="000000"/>
                <w:sz w:val="24"/>
                <w:szCs w:val="24"/>
              </w:rPr>
              <w:t>Số thủ tục hành chính</w:t>
            </w:r>
            <w:bookmarkStart w:id="1" w:name="_GoBack"/>
            <w:bookmarkEnd w:id="1"/>
            <w:r w:rsidR="00C4759C" w:rsidRPr="00C4759C">
              <w:rPr>
                <w:rFonts w:eastAsia="Times New Roman" w:cs="Times New Roman"/>
                <w:color w:val="000000"/>
                <w:sz w:val="24"/>
                <w:szCs w:val="24"/>
              </w:rPr>
              <w:t xml:space="preserve"> công được áp dụng tại Cơ quan, tổ chức, đơn vị</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Thủ tục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B406E0" w:rsidP="00ED7539">
            <w:pPr>
              <w:spacing w:before="40" w:after="40" w:line="240" w:lineRule="auto"/>
              <w:jc w:val="both"/>
              <w:rPr>
                <w:rFonts w:eastAsia="Times New Roman" w:cs="Times New Roman"/>
                <w:color w:val="000000"/>
                <w:sz w:val="24"/>
                <w:szCs w:val="24"/>
              </w:rPr>
            </w:pPr>
            <w:r>
              <w:rPr>
                <w:rFonts w:eastAsia="Times New Roman" w:cs="Times New Roman"/>
                <w:color w:val="000000"/>
                <w:sz w:val="24"/>
                <w:szCs w:val="24"/>
              </w:rPr>
              <w:t>Số thủ tục hành chính</w:t>
            </w:r>
            <w:r w:rsidR="00C4759C" w:rsidRPr="00C4759C">
              <w:rPr>
                <w:rFonts w:eastAsia="Times New Roman" w:cs="Times New Roman"/>
                <w:color w:val="000000"/>
                <w:sz w:val="24"/>
                <w:szCs w:val="24"/>
              </w:rPr>
              <w:t xml:space="preserve"> công được áp dụng mức độ 3 hoặc 4 tại cơ quan, tổ chức, đơn vị</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Thủ tục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thủ tục hành chính yêu cầu người dân, doanh nghiệp bổ sung hồ sơ từ 02 lần trở lên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Lượt thủ tục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cuộc kiểm tra, thanh tra việc thực hiện thanh toán không dùng tiền mặt</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Cuộc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phát hiện vi phạm trong việc thực hiện thanh toán không dùng tiền mặt</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Tổng giá trị giao dịch qua Hệ thống thanh toán điện tử liên ngân hàng (1)</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Tỷ trọng tiền mặt trên tổng phương tiện thanh toán (2)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Thực hiện các quy định về kiểm soát tài sản, thu nhập của người có chức vụ, quyền hạn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đã thực hiện kê khai tài sản, thu nhập trong kỳ</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được xác minh việc kê khai tài sản, thu nhập</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cơ quan, tổ chức, đơn vị đã được kiểm tra việc thực hiện các quy định về kê khai, công khai bản kê khai tài sản, thu nhập</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CQ, TC, ĐV</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bị kỷ luật do vi phạm quy định về kiểm soát tài sản, thu nhập</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lastRenderedPageBreak/>
              <w:t>35.1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bị kỷ luật do kê khai tài sản, thu nhập không trung thực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35.2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bị kỷ luật do có vi phạm khác về kiểm soát tài sản, thu nhập</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b/>
                <w:bCs/>
                <w:color w:val="000000"/>
                <w:sz w:val="24"/>
                <w:szCs w:val="24"/>
              </w:rPr>
            </w:pPr>
            <w:r w:rsidRPr="00C4759C">
              <w:rPr>
                <w:rFonts w:eastAsia="Times New Roman" w:cs="Times New Roman"/>
                <w:b/>
                <w:bCs/>
                <w:color w:val="000000"/>
                <w:sz w:val="24"/>
                <w:szCs w:val="24"/>
              </w:rPr>
              <w:t>PHÁT HIỆN CÁC VỤ VIỆC THAM NHŨNG TRONG CƠ QUAN, Tổ CHỨC, ĐƠN VỊ</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Tổng số vụ việc tham nhũng được phát hiện trong kỳ báo cáo</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Tổng số đối tượng có hành vi tham nhũng được phát hiện trong kỳ báo cáo</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Qua công tác kiểm tra và tự kiểm tra của cơ quan, tổ chức, đơn vị</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đã được phát hiện qua công tác kiểm tra của cơ quan quản lý nhà nước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được phát hiện qua công tác kiểm tra của cơ quan quản lý nhà nước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40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được phát hiện qua công tác tự kiểm tra</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60" w:after="6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được phát hiện qua công tác tự kiểm tra</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được phát hiện qua kiểm tra hoạt động chống tham nhũng trong cơ quan có chức năng phòng, chống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 Trong đó số vụ tham nhũng được phát hiện qua kiểm tra hoạt động chống tham nhũng trong cơ quan thanh tra</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được phát hiện qua kiểm tra hoạt động chống tham nhũng trong cơ quan có chức năng phòng, chống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 Trong đó số đối tượng có hành vi tham nhũng được phát hiện qua kiểm tra hoạt động chống tham nhũng trong cơ quan thanh tra</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Qua hoạt động giám sát, thanh tra, kiểm toán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được phát hiện thông qua hoạt động giám sát của cơ quan dân cư, đại biểu dân cư và xử lý đề nghị của cơ quan dân cư, đại biểu dân cử</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được phát hiện thông qua hoạt động giám sát của cơ quan dân cử, đại biểu dân cử và xử lý đề nghị của cơ quan dân cử, đại biểu dân cử</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được phát hiện thông qua hoạt động thanh tra</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được phát hiện qua hoạt động thanh tra</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được phát hiện thông qua hoạt động kiểm toán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được phát hiện thông qua hoạt động kiểm toán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Qua xem xét phản ánh, báo cáo về hành vi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lastRenderedPageBreak/>
              <w:t>50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việc có phản ánh, báo cáo về hành vi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 việc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51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việc có phản ánh, báo cáo về hành vi tham nhũng đã được xem xét</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 việc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52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phát hiện thông qua xem xét nội dung phản ánh, báo cáo về hành vi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53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phát hiện thông qua xem xét nội dung phản ánh, báo cáo về hành vi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i/>
                <w:iCs/>
                <w:color w:val="000000"/>
                <w:sz w:val="24"/>
                <w:szCs w:val="24"/>
              </w:rPr>
            </w:pPr>
            <w:r w:rsidRPr="00C4759C">
              <w:rPr>
                <w:rFonts w:eastAsia="Times New Roman" w:cs="Times New Roman"/>
                <w:i/>
                <w:iCs/>
                <w:color w:val="000000"/>
                <w:sz w:val="24"/>
                <w:szCs w:val="24"/>
              </w:rPr>
              <w:t>Qua công tác giải quyết khiếu nại, tố cáo</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54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được phát hiện thông qua giải quyết khiếu nại, tố cáo</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55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phát hiện qua giải quyết khiếu nại, tố cáo</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Qua các hoạt động khác (ngoài những hoạt động nêu trên, nếu có)</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56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được phát hiện thông qua các hoạt động khác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57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phát hiện qua các hoạt động khác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Qua điều tra tội phạm</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58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án tham nhũng (thuộc phạm vi quản lý) đã được cơ quan chức năng khởi tố</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59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tham nhũng (thuộc phạm vi quản lý) đã bị cơ quan chức năng khởi tố</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Bảo vệ, khen thưởng người tố cáo, phát hiện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tố cáo hành vi tham nhũng được được bảo vệ theo quy định của pháp luật về tố cáo</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tố cáo hành vi tham nhũng bị trả thù</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đã bị xử lý do có hành vi trả thù người tố cáo</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tố cáo hành vi tham nhũng đã được khen, thưởng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b/>
                <w:bCs/>
                <w:color w:val="000000"/>
                <w:sz w:val="24"/>
                <w:szCs w:val="24"/>
              </w:rPr>
            </w:pPr>
            <w:r w:rsidRPr="00C4759C">
              <w:rPr>
                <w:rFonts w:eastAsia="Times New Roman" w:cs="Times New Roman"/>
                <w:b/>
                <w:bCs/>
                <w:color w:val="000000"/>
                <w:sz w:val="24"/>
                <w:szCs w:val="24"/>
              </w:rPr>
              <w:t>XỬ LÝ TRÁCH NHIỆM CỦA NGƯỜI ĐỨNG ĐẦU CƠ QUAN, TỔ CHỨC, ĐƠN VỊ KHI ĐỂ XẢY RA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đứng đầu, cấp phó người đứng đầu bị kết luận là thiếu trách nhiệm để xảy ra hành vi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đứng đầu, cấp phó người đứng đầu đã bị xử lý hình sự do thiếu trách nhiệm để xảy ra hành vi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người đứng đầu, cấp phó người đứng đầu bị xử lý kỷ luật do thiếu trách nhiệm để xảy ra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66.1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 Khiển trách</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66.2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 Cảnh cáo</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66.3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 Cách chức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b/>
                <w:bCs/>
                <w:color w:val="000000"/>
                <w:sz w:val="24"/>
                <w:szCs w:val="24"/>
              </w:rPr>
            </w:pPr>
            <w:r w:rsidRPr="00C4759C">
              <w:rPr>
                <w:rFonts w:eastAsia="Times New Roman" w:cs="Times New Roman"/>
                <w:b/>
                <w:bCs/>
                <w:color w:val="000000"/>
                <w:sz w:val="24"/>
                <w:szCs w:val="24"/>
              </w:rPr>
              <w:t>XỬ LÝ THAM NHŨNG TRONG CƠ QUAN, TỔ CHỨC, ĐƠN VỊ</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67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án tham nhũng đã đưa ra xét xử (địa phương thống kê kết quả xét xử sơ thẩm của tòa án; bộ, ngành thống kê theo kết quả xét xử sơ thẩm đối với các vụ án xảy ra trong phạm vi quản lý trực tiếp)</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6B7CF3">
            <w:pPr>
              <w:spacing w:before="20" w:after="2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lastRenderedPageBreak/>
              <w:t>68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bị kết án tham nhũng (địa phương thống kê kết quả xét xử sơ thẩm của tòa án; bộ, ngành thống kê theo kết quả xét xử sơ thẩm đối với các vụ án xảy ra trong phạm vi quản lý trực tiếp) trong đó:</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68.1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 Số đối tượng phạm tội tham nhũng ít nghiêm trọng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68.2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 Số đối tượng phạm tội tham nhũng nghiêm trọng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68.3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 Số đối tượng phạm tội tham nhũng rất nghiêm trọng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68.4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 Số đối tượng phạm tội tham nhũng đặc biệt nghiêm trọng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69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việc tham nhũng đã được xử lý hành chính</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cán bộ, công chức, viên chức bị xử lý kỷ luật hành chính về hành vi tham nhũng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việc tham nhũng đã được phát hiện, đang được xem xét để xử lý (chưa có kết quả xử lý)</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tham nhũng đã được phát hiện, đang được xem xét để xử lý (chưa có kết quả xử lý)</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Tài sản bị tham nhũng, gây thiệt hại do tham nhũng đã phát hiện được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Bằng tiền (tiền Việt Nam + ngoại tệ, tài sản khác được quy đổi ra tiền Việt Nam)</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Đất đai</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m2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Tài sản tham nhũng, gây thiệt hại do tham nhũng đã được thu hồi, bồi thường</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Bằng tiền (tiền Việt Nam + ngoại tệ, tài sản khác được quy đổi ra tiền Việt Nam)</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75.1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 Kết quả thu hồi tiền bằng biện pháp hành chính</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75.2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 Kết quả thu hồi tiền bằng biện pháp tư pháp</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Đất đai</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m2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76.1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 Kết quả thu hồi đất bằng biện pháp hành chính</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m2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76.2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 Kết quả thu hồi đất bằng biện pháp tư pháp</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m2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Tài sản tham nhũng, gây thiệt hại do tham nhũng không thể thu hồi, khắc phục được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Bằng tiền (tiền Việt Nam + ngoại tệ, tài sản khác được quy đổi ra tiền Việt Nam)</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Đất đai</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m2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b/>
                <w:bCs/>
                <w:color w:val="000000"/>
                <w:sz w:val="24"/>
                <w:szCs w:val="24"/>
              </w:rPr>
            </w:pPr>
            <w:r w:rsidRPr="00C4759C">
              <w:rPr>
                <w:rFonts w:eastAsia="Times New Roman" w:cs="Times New Roman"/>
                <w:b/>
                <w:bCs/>
                <w:color w:val="000000"/>
                <w:sz w:val="24"/>
                <w:szCs w:val="24"/>
              </w:rPr>
              <w:t>PHÒNG, CHỐNG THAM NHŨNG TRONG DOANH NGHIỆP, TỔ CHỨC KHU VỰC NGOÀI NHÀ NƯỚC</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công ty đại chúng, tổ chức tín dụng</w:t>
            </w:r>
            <w:r w:rsidR="00A521CB">
              <w:rPr>
                <w:rFonts w:eastAsia="Times New Roman" w:cs="Times New Roman"/>
                <w:color w:val="000000"/>
                <w:sz w:val="24"/>
                <w:szCs w:val="24"/>
              </w:rPr>
              <w:t>, tổ chức xã hội (quy định tại k</w:t>
            </w:r>
            <w:r w:rsidRPr="00C4759C">
              <w:rPr>
                <w:rFonts w:eastAsia="Times New Roman" w:cs="Times New Roman"/>
                <w:color w:val="000000"/>
                <w:sz w:val="24"/>
                <w:szCs w:val="24"/>
              </w:rPr>
              <w:t>hoản 1 Điều 80 Luật PCTN) thuộc phạm vi quản lý</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Tổ chức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80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công ty đại chúng, tổ chức tín dụng</w:t>
            </w:r>
            <w:r w:rsidR="00A521CB">
              <w:rPr>
                <w:rFonts w:eastAsia="Times New Roman" w:cs="Times New Roman"/>
                <w:color w:val="000000"/>
                <w:sz w:val="24"/>
                <w:szCs w:val="24"/>
              </w:rPr>
              <w:t>, tổ chức xã hội (quy định tại k</w:t>
            </w:r>
            <w:r w:rsidRPr="00C4759C">
              <w:rPr>
                <w:rFonts w:eastAsia="Times New Roman" w:cs="Times New Roman"/>
                <w:color w:val="000000"/>
                <w:sz w:val="24"/>
                <w:szCs w:val="24"/>
              </w:rPr>
              <w:t>hoản 1 Điều 80 Luật PCTN) được thanh tra, kiểm tra việc thực hiện pháp luật về PCTN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Tổ chức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81</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công ty đại chúng, tổ chức tín dụng</w:t>
            </w:r>
            <w:r w:rsidR="00A521CB">
              <w:rPr>
                <w:rFonts w:eastAsia="Times New Roman" w:cs="Times New Roman"/>
                <w:color w:val="000000"/>
                <w:sz w:val="24"/>
                <w:szCs w:val="24"/>
              </w:rPr>
              <w:t>, tổ chức xã hội (quy định tại k</w:t>
            </w:r>
            <w:r w:rsidRPr="00C4759C">
              <w:rPr>
                <w:rFonts w:eastAsia="Times New Roman" w:cs="Times New Roman"/>
                <w:color w:val="000000"/>
                <w:sz w:val="24"/>
                <w:szCs w:val="24"/>
              </w:rPr>
              <w:t>hoản 1 Điều 80 Luật PCTN) bị xử lý do có vi phạm pháp luật về PCTN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Tổ chức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lastRenderedPageBreak/>
              <w:t>82</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vụ tham nhũng trong khu vực ngoài nhà nước thuộc phạm vi quản lý được phát hiện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Vụ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83</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trong khu vực ngoài nhà nước thuộc phạm vi quản lý được phát hiện</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84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Số đối tượng có hành vi tham nhũng trong khu vực ngoài nhà nước thuộc phạm vi quản lý đã bị xử lý hình sự</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85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Thiệt hại gây ra bởi các vụ tham nhũng trong khu vực ngoài nhà nước thuộc phạm vi quản lý (tiền Việt Nam + ngoại tệ, tài sản khác được quy đổi ra tiền Việt Nam)</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86</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ED7539">
            <w:pPr>
              <w:spacing w:before="40" w:after="40" w:line="240" w:lineRule="auto"/>
              <w:jc w:val="both"/>
              <w:rPr>
                <w:rFonts w:eastAsia="Times New Roman" w:cs="Times New Roman"/>
                <w:color w:val="000000"/>
                <w:sz w:val="24"/>
                <w:szCs w:val="24"/>
              </w:rPr>
            </w:pPr>
            <w:r w:rsidRPr="00C4759C">
              <w:rPr>
                <w:rFonts w:eastAsia="Times New Roman" w:cs="Times New Roman"/>
                <w:color w:val="000000"/>
                <w:sz w:val="24"/>
                <w:szCs w:val="24"/>
              </w:rPr>
              <w:t>Kết quả thu hồi tài sản tham nhũng trong khu vực ngoài nhà nước thuộc phạm vi quản lý (tiền Việt Nam + ngoại tệ, tài sản khác được quy đổi ra tiền Việt Nam)</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Triệu đồng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6596" w:type="dxa"/>
            <w:gridSpan w:val="2"/>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Ghi chú:</w:t>
            </w:r>
          </w:p>
        </w:tc>
        <w:tc>
          <w:tcPr>
            <w:tcW w:w="1499"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r w:rsidR="00C4759C" w:rsidRPr="00C4759C" w:rsidTr="00C4759C">
        <w:trPr>
          <w:trHeight w:val="20"/>
        </w:trPr>
        <w:tc>
          <w:tcPr>
            <w:tcW w:w="9654" w:type="dxa"/>
            <w:gridSpan w:val="4"/>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 Khi báo cáo các đơn vị không sửa đổi nội dung các tiêu chí thống kê trong biểu số liệu</w:t>
            </w:r>
          </w:p>
        </w:tc>
      </w:tr>
      <w:tr w:rsidR="00C4759C" w:rsidRPr="00C4759C" w:rsidTr="00C4759C">
        <w:trPr>
          <w:trHeight w:val="20"/>
        </w:trPr>
        <w:tc>
          <w:tcPr>
            <w:tcW w:w="9654" w:type="dxa"/>
            <w:gridSpan w:val="4"/>
            <w:tcBorders>
              <w:top w:val="nil"/>
              <w:left w:val="nil"/>
              <w:bottom w:val="nil"/>
              <w:right w:val="nil"/>
            </w:tcBorders>
            <w:shd w:val="clear" w:color="auto" w:fill="auto"/>
            <w:vAlign w:val="center"/>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 Không thống kê số liệu vào những mục nội dung mà cột mã số (MS) và cột đơn vị tính trong biểu mẫu để trống.</w:t>
            </w:r>
          </w:p>
        </w:tc>
      </w:tr>
      <w:tr w:rsidR="00C4759C" w:rsidRPr="00C4759C" w:rsidTr="00C4759C">
        <w:trPr>
          <w:trHeight w:val="20"/>
        </w:trPr>
        <w:tc>
          <w:tcPr>
            <w:tcW w:w="9654" w:type="dxa"/>
            <w:gridSpan w:val="4"/>
            <w:tcBorders>
              <w:top w:val="nil"/>
              <w:left w:val="nil"/>
              <w:bottom w:val="nil"/>
              <w:right w:val="nil"/>
            </w:tcBorders>
            <w:shd w:val="clear" w:color="auto" w:fill="auto"/>
            <w:vAlign w:val="center"/>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 Các địa phương chỉ đưa vào biểu mẫu này số liệu thống kê về kết quả công tác PCTN của địa phương, không thống kê kết quả của các cơ quan Trung ương tổ chức theo ngành dọc đóng trên địa bàn</w:t>
            </w:r>
          </w:p>
        </w:tc>
      </w:tr>
      <w:tr w:rsidR="00C4759C" w:rsidRPr="00C4759C" w:rsidTr="00C4759C">
        <w:trPr>
          <w:trHeight w:val="20"/>
        </w:trPr>
        <w:tc>
          <w:tcPr>
            <w:tcW w:w="6596" w:type="dxa"/>
            <w:gridSpan w:val="2"/>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 xml:space="preserve">- </w:t>
            </w:r>
            <w:r w:rsidR="00A521CB">
              <w:rPr>
                <w:rFonts w:eastAsia="Times New Roman" w:cs="Times New Roman"/>
                <w:color w:val="000000"/>
                <w:sz w:val="24"/>
                <w:szCs w:val="24"/>
              </w:rPr>
              <w:t>Số liệu của Ngân hàng Nhà nước b</w:t>
            </w:r>
            <w:r w:rsidRPr="00C4759C">
              <w:rPr>
                <w:rFonts w:eastAsia="Times New Roman" w:cs="Times New Roman"/>
                <w:color w:val="000000"/>
                <w:sz w:val="24"/>
                <w:szCs w:val="24"/>
              </w:rPr>
              <w:t>áo cáo</w:t>
            </w:r>
          </w:p>
        </w:tc>
        <w:tc>
          <w:tcPr>
            <w:tcW w:w="1499"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r w:rsidR="00C4759C" w:rsidRPr="00C4759C" w:rsidTr="00C4759C">
        <w:trPr>
          <w:trHeight w:val="20"/>
        </w:trPr>
        <w:tc>
          <w:tcPr>
            <w:tcW w:w="6596" w:type="dxa"/>
            <w:gridSpan w:val="2"/>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 xml:space="preserve">- </w:t>
            </w:r>
            <w:r w:rsidR="00A521CB">
              <w:rPr>
                <w:rFonts w:eastAsia="Times New Roman" w:cs="Times New Roman"/>
                <w:color w:val="000000"/>
                <w:sz w:val="24"/>
                <w:szCs w:val="24"/>
              </w:rPr>
              <w:t>Số liệu của Ngân hàng Nhà nước b</w:t>
            </w:r>
            <w:r w:rsidRPr="00C4759C">
              <w:rPr>
                <w:rFonts w:eastAsia="Times New Roman" w:cs="Times New Roman"/>
                <w:color w:val="000000"/>
                <w:sz w:val="24"/>
                <w:szCs w:val="24"/>
              </w:rPr>
              <w:t>áo cáo</w:t>
            </w:r>
          </w:p>
        </w:tc>
        <w:tc>
          <w:tcPr>
            <w:tcW w:w="1499"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bl>
    <w:p w:rsidR="00A15B97" w:rsidRDefault="00A15B97"/>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tbl>
      <w:tblPr>
        <w:tblW w:w="9660" w:type="dxa"/>
        <w:tblInd w:w="93" w:type="dxa"/>
        <w:tblLook w:val="04A0" w:firstRow="1" w:lastRow="0" w:firstColumn="1" w:lastColumn="0" w:noHBand="0" w:noVBand="1"/>
      </w:tblPr>
      <w:tblGrid>
        <w:gridCol w:w="537"/>
        <w:gridCol w:w="1888"/>
        <w:gridCol w:w="2260"/>
        <w:gridCol w:w="1960"/>
        <w:gridCol w:w="1875"/>
        <w:gridCol w:w="1140"/>
      </w:tblGrid>
      <w:tr w:rsidR="00C4759C" w:rsidRPr="00C4759C" w:rsidTr="00C4759C">
        <w:trPr>
          <w:trHeight w:val="1455"/>
        </w:trPr>
        <w:tc>
          <w:tcPr>
            <w:tcW w:w="9660" w:type="dxa"/>
            <w:gridSpan w:val="6"/>
            <w:tcBorders>
              <w:top w:val="nil"/>
              <w:left w:val="nil"/>
              <w:right w:val="nil"/>
            </w:tcBorders>
            <w:shd w:val="clear" w:color="auto" w:fill="auto"/>
            <w:hideMark/>
          </w:tcPr>
          <w:p w:rsidR="00C4759C" w:rsidRPr="00C4759C" w:rsidRDefault="00C4759C" w:rsidP="00C4759C">
            <w:pPr>
              <w:spacing w:before="0" w:line="240" w:lineRule="auto"/>
              <w:jc w:val="center"/>
              <w:rPr>
                <w:rFonts w:eastAsia="Times New Roman" w:cs="Times New Roman"/>
                <w:b/>
                <w:bCs/>
                <w:color w:val="000000"/>
                <w:sz w:val="24"/>
                <w:szCs w:val="24"/>
              </w:rPr>
            </w:pPr>
            <w:bookmarkStart w:id="2" w:name="RANGE!A1:F12"/>
            <w:r w:rsidRPr="00C4759C">
              <w:rPr>
                <w:rFonts w:eastAsia="Times New Roman" w:cs="Times New Roman"/>
                <w:b/>
                <w:bCs/>
                <w:color w:val="000000"/>
                <w:sz w:val="24"/>
                <w:szCs w:val="24"/>
              </w:rPr>
              <w:lastRenderedPageBreak/>
              <w:t>Biểu mẫu số 11.10</w:t>
            </w:r>
          </w:p>
          <w:bookmarkEnd w:id="2"/>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DANH SÁCH CÁC VỤ THAM NHŨNG ĐƯỢC PHÁT HIỆN TRONG KỲ</w:t>
            </w:r>
          </w:p>
          <w:p w:rsidR="00C4759C" w:rsidRPr="00C4759C" w:rsidRDefault="00C4759C" w:rsidP="00C4759C">
            <w:pPr>
              <w:spacing w:before="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(Số liệu tính từ ngày ..../.... /.... đến....ngày…/…/….</w:t>
            </w:r>
          </w:p>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i/>
                <w:iCs/>
                <w:color w:val="000000"/>
                <w:sz w:val="24"/>
                <w:szCs w:val="24"/>
              </w:rPr>
              <w:t>(Kèm theo Báo cáo số:  ....ngày.....tháng ....năm....của.....)</w:t>
            </w:r>
          </w:p>
        </w:tc>
      </w:tr>
      <w:tr w:rsidR="00C4759C" w:rsidRPr="00C4759C" w:rsidTr="00C4759C">
        <w:trPr>
          <w:trHeight w:val="315"/>
        </w:trPr>
        <w:tc>
          <w:tcPr>
            <w:tcW w:w="537"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888"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2260"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960"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875"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r w:rsidR="00C4759C" w:rsidRPr="00C4759C" w:rsidTr="00C4759C">
        <w:trPr>
          <w:trHeight w:val="94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TT</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Tên vụ</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Tên cơ quan, tổ chức, đơn vị xảy ra sự việc</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Cơ quan thụ lý, giải quyết vụ việc</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Tóm tắt nội dung vụ việc</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Ghi chú</w:t>
            </w:r>
          </w:p>
        </w:tc>
      </w:tr>
      <w:tr w:rsidR="00C4759C" w:rsidRPr="00C4759C" w:rsidTr="00C4759C">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1</w:t>
            </w:r>
          </w:p>
        </w:tc>
        <w:tc>
          <w:tcPr>
            <w:tcW w:w="1888"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22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9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75"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2</w:t>
            </w:r>
          </w:p>
        </w:tc>
        <w:tc>
          <w:tcPr>
            <w:tcW w:w="1888"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22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9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75"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w:t>
            </w:r>
          </w:p>
        </w:tc>
        <w:tc>
          <w:tcPr>
            <w:tcW w:w="1888"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22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9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75"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88"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22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9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75"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88"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22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9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75"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88"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22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96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875"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bl>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Default="00C4759C"/>
    <w:p w:rsidR="00C4759C" w:rsidRPr="00C4759C" w:rsidRDefault="00C4759C">
      <w:pPr>
        <w:rPr>
          <w:sz w:val="14"/>
        </w:rPr>
      </w:pPr>
    </w:p>
    <w:tbl>
      <w:tblPr>
        <w:tblW w:w="9686" w:type="dxa"/>
        <w:tblInd w:w="93" w:type="dxa"/>
        <w:tblLook w:val="04A0" w:firstRow="1" w:lastRow="0" w:firstColumn="1" w:lastColumn="0" w:noHBand="0" w:noVBand="1"/>
      </w:tblPr>
      <w:tblGrid>
        <w:gridCol w:w="940"/>
        <w:gridCol w:w="1312"/>
        <w:gridCol w:w="1292"/>
        <w:gridCol w:w="1312"/>
        <w:gridCol w:w="1396"/>
        <w:gridCol w:w="1210"/>
        <w:gridCol w:w="1353"/>
        <w:gridCol w:w="871"/>
      </w:tblGrid>
      <w:tr w:rsidR="00C4759C" w:rsidRPr="00C4759C" w:rsidTr="00C4759C">
        <w:trPr>
          <w:trHeight w:val="20"/>
        </w:trPr>
        <w:tc>
          <w:tcPr>
            <w:tcW w:w="9686" w:type="dxa"/>
            <w:gridSpan w:val="8"/>
            <w:tcBorders>
              <w:top w:val="nil"/>
              <w:left w:val="nil"/>
              <w:bottom w:val="nil"/>
              <w:right w:val="nil"/>
            </w:tcBorders>
            <w:shd w:val="clear" w:color="auto" w:fill="auto"/>
            <w:vAlign w:val="center"/>
            <w:hideMark/>
          </w:tcPr>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lastRenderedPageBreak/>
              <w:t>Biểu mẫu số 11.11</w:t>
            </w:r>
          </w:p>
        </w:tc>
      </w:tr>
      <w:tr w:rsidR="00C4759C" w:rsidRPr="00C4759C" w:rsidTr="00C4759C">
        <w:trPr>
          <w:trHeight w:val="20"/>
        </w:trPr>
        <w:tc>
          <w:tcPr>
            <w:tcW w:w="9686" w:type="dxa"/>
            <w:gridSpan w:val="8"/>
            <w:tcBorders>
              <w:top w:val="nil"/>
              <w:left w:val="nil"/>
              <w:bottom w:val="nil"/>
              <w:right w:val="nil"/>
            </w:tcBorders>
            <w:shd w:val="clear" w:color="auto" w:fill="auto"/>
            <w:vAlign w:val="center"/>
            <w:hideMark/>
          </w:tcPr>
          <w:p w:rsidR="00C4759C" w:rsidRPr="00C4759C" w:rsidRDefault="00C4759C" w:rsidP="00C4759C">
            <w:pPr>
              <w:spacing w:before="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KẾT QUẢ PHÁT HIỆN, KHẮC PHỤC CÁC VĂN BẢN CÒN SƠ HỞ, DỄ BỊ LỢI DỤNG ĐỂ THAM NHŨNG (*)</w:t>
            </w:r>
          </w:p>
        </w:tc>
      </w:tr>
      <w:tr w:rsidR="00C4759C" w:rsidRPr="00C4759C" w:rsidTr="00C4759C">
        <w:trPr>
          <w:trHeight w:val="20"/>
        </w:trPr>
        <w:tc>
          <w:tcPr>
            <w:tcW w:w="9686" w:type="dxa"/>
            <w:gridSpan w:val="8"/>
            <w:tcBorders>
              <w:top w:val="nil"/>
              <w:left w:val="nil"/>
              <w:bottom w:val="nil"/>
              <w:right w:val="nil"/>
            </w:tcBorders>
            <w:shd w:val="clear" w:color="auto" w:fill="auto"/>
            <w:vAlign w:val="center"/>
            <w:hideMark/>
          </w:tcPr>
          <w:p w:rsidR="00C4759C" w:rsidRPr="00C4759C" w:rsidRDefault="00C4759C" w:rsidP="00C4759C">
            <w:pPr>
              <w:spacing w:before="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 xml:space="preserve"> (Số liệu tính từ ngày ..../.... /.... đến....ngày…/…/….</w:t>
            </w:r>
          </w:p>
        </w:tc>
      </w:tr>
      <w:tr w:rsidR="00C4759C" w:rsidRPr="00C4759C" w:rsidTr="00C4759C">
        <w:trPr>
          <w:trHeight w:val="20"/>
        </w:trPr>
        <w:tc>
          <w:tcPr>
            <w:tcW w:w="9686" w:type="dxa"/>
            <w:gridSpan w:val="8"/>
            <w:tcBorders>
              <w:top w:val="nil"/>
              <w:left w:val="nil"/>
              <w:bottom w:val="nil"/>
              <w:right w:val="nil"/>
            </w:tcBorders>
            <w:shd w:val="clear" w:color="auto" w:fill="auto"/>
            <w:vAlign w:val="center"/>
            <w:hideMark/>
          </w:tcPr>
          <w:p w:rsidR="00C4759C" w:rsidRDefault="00C4759C" w:rsidP="00C4759C">
            <w:pPr>
              <w:spacing w:before="0" w:line="240" w:lineRule="auto"/>
              <w:jc w:val="center"/>
              <w:rPr>
                <w:rFonts w:eastAsia="Times New Roman" w:cs="Times New Roman"/>
                <w:i/>
                <w:iCs/>
                <w:color w:val="000000"/>
                <w:sz w:val="24"/>
                <w:szCs w:val="24"/>
              </w:rPr>
            </w:pPr>
            <w:r w:rsidRPr="00C4759C">
              <w:rPr>
                <w:rFonts w:eastAsia="Times New Roman" w:cs="Times New Roman"/>
                <w:i/>
                <w:iCs/>
                <w:color w:val="000000"/>
                <w:sz w:val="24"/>
                <w:szCs w:val="24"/>
              </w:rPr>
              <w:t>(Kèm theo Báo cáo số: .....ngày.....tháng ....năm.....của.....)</w:t>
            </w:r>
          </w:p>
          <w:p w:rsidR="00C4759C" w:rsidRPr="00C4759C" w:rsidRDefault="00C4759C" w:rsidP="00C4759C">
            <w:pPr>
              <w:spacing w:before="0" w:line="240" w:lineRule="auto"/>
              <w:jc w:val="center"/>
              <w:rPr>
                <w:rFonts w:eastAsia="Times New Roman" w:cs="Times New Roman"/>
                <w:i/>
                <w:iCs/>
                <w:color w:val="000000"/>
                <w:sz w:val="24"/>
                <w:szCs w:val="24"/>
              </w:rPr>
            </w:pPr>
          </w:p>
        </w:tc>
      </w:tr>
      <w:tr w:rsidR="00C4759C" w:rsidRPr="00C4759C" w:rsidTr="00C4759C">
        <w:trPr>
          <w:trHeight w:val="20"/>
        </w:trPr>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TT</w:t>
            </w:r>
          </w:p>
        </w:tc>
        <w:tc>
          <w:tcPr>
            <w:tcW w:w="13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Tên, số, ngày, tháng, năm</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Cơ quan ban hành văn bản</w:t>
            </w:r>
          </w:p>
        </w:tc>
        <w:tc>
          <w:tcPr>
            <w:tcW w:w="13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Nôi dung sơ hở, dễ bị lợi dụng để tham nhũng</w:t>
            </w:r>
          </w:p>
        </w:tc>
        <w:tc>
          <w:tcPr>
            <w:tcW w:w="39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Kết quả khắc phục</w:t>
            </w:r>
          </w:p>
        </w:tc>
        <w:tc>
          <w:tcPr>
            <w:tcW w:w="8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Ghi chú</w:t>
            </w:r>
          </w:p>
        </w:tc>
      </w:tr>
      <w:tr w:rsidR="00C4759C" w:rsidRPr="00C4759C" w:rsidTr="00C4759C">
        <w:trPr>
          <w:trHeight w:val="2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C4759C" w:rsidRPr="00C4759C" w:rsidRDefault="00C4759C" w:rsidP="00C4759C">
            <w:pPr>
              <w:spacing w:before="40" w:after="40" w:line="240" w:lineRule="auto"/>
              <w:rPr>
                <w:rFonts w:eastAsia="Times New Roman" w:cs="Times New Roman"/>
                <w:b/>
                <w:bCs/>
                <w:color w:val="000000"/>
                <w:sz w:val="24"/>
                <w:szCs w:val="24"/>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rsidR="00C4759C" w:rsidRPr="00C4759C" w:rsidRDefault="00C4759C" w:rsidP="00C4759C">
            <w:pPr>
              <w:spacing w:before="40" w:after="40" w:line="240" w:lineRule="auto"/>
              <w:rPr>
                <w:rFonts w:eastAsia="Times New Roman" w:cs="Times New Roman"/>
                <w:b/>
                <w:bCs/>
                <w:color w:val="000000"/>
                <w:sz w:val="24"/>
                <w:szCs w:val="24"/>
              </w:rPr>
            </w:pPr>
          </w:p>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C4759C" w:rsidRPr="00C4759C" w:rsidRDefault="00C4759C" w:rsidP="00C4759C">
            <w:pPr>
              <w:spacing w:before="40" w:after="40" w:line="240" w:lineRule="auto"/>
              <w:rPr>
                <w:rFonts w:eastAsia="Times New Roman" w:cs="Times New Roman"/>
                <w:b/>
                <w:bCs/>
                <w:color w:val="000000"/>
                <w:sz w:val="24"/>
                <w:szCs w:val="24"/>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rsidR="00C4759C" w:rsidRPr="00C4759C" w:rsidRDefault="00C4759C" w:rsidP="00C4759C">
            <w:pPr>
              <w:spacing w:before="40" w:after="40" w:line="240" w:lineRule="auto"/>
              <w:rPr>
                <w:rFonts w:eastAsia="Times New Roman" w:cs="Times New Roman"/>
                <w:b/>
                <w:bCs/>
                <w:color w:val="000000"/>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Đã được khắc phục theo thẩm quyền</w:t>
            </w:r>
          </w:p>
        </w:tc>
        <w:tc>
          <w:tcPr>
            <w:tcW w:w="1210"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Chưa khắc phục xong</w:t>
            </w:r>
          </w:p>
        </w:tc>
        <w:tc>
          <w:tcPr>
            <w:tcW w:w="1353" w:type="dxa"/>
            <w:tcBorders>
              <w:top w:val="nil"/>
              <w:left w:val="nil"/>
              <w:bottom w:val="single" w:sz="4" w:space="0" w:color="auto"/>
              <w:right w:val="single" w:sz="4" w:space="0" w:color="auto"/>
            </w:tcBorders>
            <w:shd w:val="clear" w:color="auto" w:fill="auto"/>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Nguyên nhân của việc chưa khắc phục xong</w:t>
            </w:r>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C4759C" w:rsidRPr="00C4759C" w:rsidRDefault="00C4759C" w:rsidP="00C4759C">
            <w:pPr>
              <w:spacing w:before="40" w:after="40" w:line="240" w:lineRule="auto"/>
              <w:rPr>
                <w:rFonts w:eastAsia="Times New Roman" w:cs="Times New Roman"/>
                <w:b/>
                <w:bCs/>
                <w:color w:val="000000"/>
                <w:sz w:val="24"/>
                <w:szCs w:val="24"/>
              </w:rPr>
            </w:pPr>
          </w:p>
        </w:tc>
      </w:tr>
      <w:tr w:rsidR="00C4759C" w:rsidRPr="00C4759C" w:rsidTr="00C4759C">
        <w:trPr>
          <w:trHeight w:val="2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MS</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1</w:t>
            </w:r>
          </w:p>
        </w:tc>
        <w:tc>
          <w:tcPr>
            <w:tcW w:w="129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3</w:t>
            </w:r>
          </w:p>
        </w:tc>
        <w:tc>
          <w:tcPr>
            <w:tcW w:w="1396"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4</w:t>
            </w:r>
          </w:p>
        </w:tc>
        <w:tc>
          <w:tcPr>
            <w:tcW w:w="1210"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5</w:t>
            </w:r>
          </w:p>
        </w:tc>
        <w:tc>
          <w:tcPr>
            <w:tcW w:w="1353"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6</w:t>
            </w:r>
          </w:p>
        </w:tc>
        <w:tc>
          <w:tcPr>
            <w:tcW w:w="871"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7</w:t>
            </w:r>
          </w:p>
        </w:tc>
      </w:tr>
      <w:tr w:rsidR="00C4759C" w:rsidRPr="00C4759C" w:rsidTr="00C4759C">
        <w:trPr>
          <w:trHeight w:val="2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29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96"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210"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53"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2</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29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96"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210"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53"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29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96"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210"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53"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b/>
                <w:bCs/>
                <w:color w:val="000000"/>
                <w:sz w:val="24"/>
                <w:szCs w:val="24"/>
              </w:rPr>
            </w:pPr>
            <w:r w:rsidRPr="00C4759C">
              <w:rPr>
                <w:rFonts w:eastAsia="Times New Roman" w:cs="Times New Roman"/>
                <w:b/>
                <w:bCs/>
                <w:color w:val="000000"/>
                <w:sz w:val="24"/>
                <w:szCs w:val="24"/>
              </w:rPr>
              <w:t>Tổng số:</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29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12"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96"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210"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1353"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noWrap/>
            <w:vAlign w:val="center"/>
            <w:hideMark/>
          </w:tcPr>
          <w:p w:rsidR="00C4759C" w:rsidRPr="00C4759C" w:rsidRDefault="00C4759C" w:rsidP="00C4759C">
            <w:pPr>
              <w:spacing w:before="40" w:after="40" w:line="240" w:lineRule="auto"/>
              <w:jc w:val="center"/>
              <w:rPr>
                <w:rFonts w:eastAsia="Times New Roman" w:cs="Times New Roman"/>
                <w:color w:val="000000"/>
                <w:sz w:val="24"/>
                <w:szCs w:val="24"/>
              </w:rPr>
            </w:pPr>
            <w:r w:rsidRPr="00C4759C">
              <w:rPr>
                <w:rFonts w:eastAsia="Times New Roman" w:cs="Times New Roman"/>
                <w:color w:val="000000"/>
                <w:sz w:val="24"/>
                <w:szCs w:val="24"/>
              </w:rPr>
              <w:t> </w:t>
            </w:r>
          </w:p>
        </w:tc>
      </w:tr>
      <w:tr w:rsidR="00C4759C" w:rsidRPr="00C4759C" w:rsidTr="00C4759C">
        <w:trPr>
          <w:trHeight w:val="20"/>
        </w:trPr>
        <w:tc>
          <w:tcPr>
            <w:tcW w:w="940"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312"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292"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312"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396"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210"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353"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871"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r w:rsidR="00C4759C" w:rsidRPr="00C4759C" w:rsidTr="00C4759C">
        <w:trPr>
          <w:trHeight w:val="20"/>
        </w:trPr>
        <w:tc>
          <w:tcPr>
            <w:tcW w:w="3544" w:type="dxa"/>
            <w:gridSpan w:val="3"/>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Hướng dẫn cách ghi biểu:</w:t>
            </w:r>
          </w:p>
        </w:tc>
        <w:tc>
          <w:tcPr>
            <w:tcW w:w="1312" w:type="dxa"/>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p>
        </w:tc>
        <w:tc>
          <w:tcPr>
            <w:tcW w:w="1396"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210"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353"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871"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r w:rsidR="00C4759C" w:rsidRPr="00C4759C" w:rsidTr="00C4759C">
        <w:trPr>
          <w:trHeight w:val="20"/>
        </w:trPr>
        <w:tc>
          <w:tcPr>
            <w:tcW w:w="9686" w:type="dxa"/>
            <w:gridSpan w:val="8"/>
            <w:tcBorders>
              <w:top w:val="nil"/>
              <w:left w:val="nil"/>
              <w:bottom w:val="nil"/>
              <w:right w:val="nil"/>
            </w:tcBorders>
            <w:shd w:val="clear" w:color="auto" w:fill="auto"/>
            <w:vAlign w:val="center"/>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 Phát hiện qua công tác thanh tra, kiểm tra, điều tra, truy tố xét xử, theo dõi thi hành pháp luật, kiểm tra văn bản quy phạm pháp luật</w:t>
            </w:r>
          </w:p>
        </w:tc>
      </w:tr>
      <w:tr w:rsidR="00C4759C" w:rsidRPr="00C4759C" w:rsidTr="00C4759C">
        <w:trPr>
          <w:trHeight w:val="20"/>
        </w:trPr>
        <w:tc>
          <w:tcPr>
            <w:tcW w:w="3544" w:type="dxa"/>
            <w:gridSpan w:val="3"/>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 Cột (4), (5): Điền dấu "x"</w:t>
            </w:r>
          </w:p>
        </w:tc>
        <w:tc>
          <w:tcPr>
            <w:tcW w:w="1312" w:type="dxa"/>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p>
        </w:tc>
        <w:tc>
          <w:tcPr>
            <w:tcW w:w="1396"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210"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353"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871"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r w:rsidR="00C4759C" w:rsidRPr="00C4759C" w:rsidTr="00C4759C">
        <w:trPr>
          <w:trHeight w:val="20"/>
        </w:trPr>
        <w:tc>
          <w:tcPr>
            <w:tcW w:w="4856" w:type="dxa"/>
            <w:gridSpan w:val="4"/>
            <w:tcBorders>
              <w:top w:val="nil"/>
              <w:left w:val="nil"/>
              <w:bottom w:val="nil"/>
              <w:right w:val="nil"/>
            </w:tcBorders>
            <w:shd w:val="clear" w:color="auto" w:fill="auto"/>
            <w:noWrap/>
            <w:vAlign w:val="bottom"/>
            <w:hideMark/>
          </w:tcPr>
          <w:p w:rsidR="00C4759C" w:rsidRPr="00C4759C" w:rsidRDefault="00C4759C" w:rsidP="00ED7539">
            <w:pPr>
              <w:spacing w:before="80" w:line="240" w:lineRule="auto"/>
              <w:jc w:val="both"/>
              <w:rPr>
                <w:rFonts w:eastAsia="Times New Roman" w:cs="Times New Roman"/>
                <w:color w:val="000000"/>
                <w:sz w:val="24"/>
                <w:szCs w:val="24"/>
              </w:rPr>
            </w:pPr>
            <w:r w:rsidRPr="00C4759C">
              <w:rPr>
                <w:rFonts w:eastAsia="Times New Roman" w:cs="Times New Roman"/>
                <w:color w:val="000000"/>
                <w:sz w:val="24"/>
                <w:szCs w:val="24"/>
              </w:rPr>
              <w:t>- Cột (6): Nhập nội dung khi tích "x" tại Cột (5)</w:t>
            </w:r>
          </w:p>
        </w:tc>
        <w:tc>
          <w:tcPr>
            <w:tcW w:w="1396"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210"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1353"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c>
          <w:tcPr>
            <w:tcW w:w="871" w:type="dxa"/>
            <w:tcBorders>
              <w:top w:val="nil"/>
              <w:left w:val="nil"/>
              <w:bottom w:val="nil"/>
              <w:right w:val="nil"/>
            </w:tcBorders>
            <w:shd w:val="clear" w:color="auto" w:fill="auto"/>
            <w:noWrap/>
            <w:vAlign w:val="bottom"/>
            <w:hideMark/>
          </w:tcPr>
          <w:p w:rsidR="00C4759C" w:rsidRPr="00C4759C" w:rsidRDefault="00C4759C" w:rsidP="00C4759C">
            <w:pPr>
              <w:spacing w:before="0" w:line="240" w:lineRule="auto"/>
              <w:rPr>
                <w:rFonts w:eastAsia="Times New Roman" w:cs="Times New Roman"/>
                <w:color w:val="000000"/>
                <w:sz w:val="24"/>
                <w:szCs w:val="24"/>
              </w:rPr>
            </w:pPr>
          </w:p>
        </w:tc>
      </w:tr>
    </w:tbl>
    <w:p w:rsidR="00C4759C" w:rsidRDefault="00C4759C"/>
    <w:p w:rsidR="00C4759C" w:rsidRDefault="00C4759C"/>
    <w:p w:rsidR="00C4759C" w:rsidRDefault="00C4759C"/>
    <w:p w:rsidR="00C4759C" w:rsidRDefault="00C4759C"/>
    <w:p w:rsidR="00C4759C" w:rsidRDefault="00C4759C"/>
    <w:p w:rsidR="00C4759C" w:rsidRDefault="00C4759C"/>
    <w:sectPr w:rsidR="00C4759C" w:rsidSect="00C4759C">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7E1" w:rsidRDefault="00C707E1" w:rsidP="00C4759C">
      <w:pPr>
        <w:spacing w:before="0" w:line="240" w:lineRule="auto"/>
      </w:pPr>
      <w:r>
        <w:separator/>
      </w:r>
    </w:p>
  </w:endnote>
  <w:endnote w:type="continuationSeparator" w:id="0">
    <w:p w:rsidR="00C707E1" w:rsidRDefault="00C707E1" w:rsidP="00C4759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7E1" w:rsidRDefault="00C707E1" w:rsidP="00C4759C">
      <w:pPr>
        <w:spacing w:before="0" w:line="240" w:lineRule="auto"/>
      </w:pPr>
      <w:r>
        <w:separator/>
      </w:r>
    </w:p>
  </w:footnote>
  <w:footnote w:type="continuationSeparator" w:id="0">
    <w:p w:rsidR="00C707E1" w:rsidRDefault="00C707E1" w:rsidP="00C4759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CF3" w:rsidRDefault="006B7CF3">
    <w:pPr>
      <w:pStyle w:val="Header"/>
    </w:pPr>
  </w:p>
  <w:p w:rsidR="006B7CF3" w:rsidRDefault="006B7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9C"/>
    <w:rsid w:val="00080F00"/>
    <w:rsid w:val="00242CDF"/>
    <w:rsid w:val="006865CA"/>
    <w:rsid w:val="006B7CF3"/>
    <w:rsid w:val="009F03BF"/>
    <w:rsid w:val="00A15B97"/>
    <w:rsid w:val="00A521CB"/>
    <w:rsid w:val="00AA66F1"/>
    <w:rsid w:val="00AD7FDC"/>
    <w:rsid w:val="00B406E0"/>
    <w:rsid w:val="00B84FDA"/>
    <w:rsid w:val="00C4759C"/>
    <w:rsid w:val="00C707E1"/>
    <w:rsid w:val="00E21487"/>
    <w:rsid w:val="00ED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59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4759C"/>
  </w:style>
  <w:style w:type="paragraph" w:styleId="Footer">
    <w:name w:val="footer"/>
    <w:basedOn w:val="Normal"/>
    <w:link w:val="FooterChar"/>
    <w:uiPriority w:val="99"/>
    <w:unhideWhenUsed/>
    <w:rsid w:val="00C4759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47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59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4759C"/>
  </w:style>
  <w:style w:type="paragraph" w:styleId="Footer">
    <w:name w:val="footer"/>
    <w:basedOn w:val="Normal"/>
    <w:link w:val="FooterChar"/>
    <w:uiPriority w:val="99"/>
    <w:unhideWhenUsed/>
    <w:rsid w:val="00C4759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4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45393">
      <w:bodyDiv w:val="1"/>
      <w:marLeft w:val="0"/>
      <w:marRight w:val="0"/>
      <w:marTop w:val="0"/>
      <w:marBottom w:val="0"/>
      <w:divBdr>
        <w:top w:val="none" w:sz="0" w:space="0" w:color="auto"/>
        <w:left w:val="none" w:sz="0" w:space="0" w:color="auto"/>
        <w:bottom w:val="none" w:sz="0" w:space="0" w:color="auto"/>
        <w:right w:val="none" w:sz="0" w:space="0" w:color="auto"/>
      </w:divBdr>
    </w:div>
    <w:div w:id="657655838">
      <w:bodyDiv w:val="1"/>
      <w:marLeft w:val="0"/>
      <w:marRight w:val="0"/>
      <w:marTop w:val="0"/>
      <w:marBottom w:val="0"/>
      <w:divBdr>
        <w:top w:val="none" w:sz="0" w:space="0" w:color="auto"/>
        <w:left w:val="none" w:sz="0" w:space="0" w:color="auto"/>
        <w:bottom w:val="none" w:sz="0" w:space="0" w:color="auto"/>
        <w:right w:val="none" w:sz="0" w:space="0" w:color="auto"/>
      </w:divBdr>
    </w:div>
    <w:div w:id="659507087">
      <w:bodyDiv w:val="1"/>
      <w:marLeft w:val="0"/>
      <w:marRight w:val="0"/>
      <w:marTop w:val="0"/>
      <w:marBottom w:val="0"/>
      <w:divBdr>
        <w:top w:val="none" w:sz="0" w:space="0" w:color="auto"/>
        <w:left w:val="none" w:sz="0" w:space="0" w:color="auto"/>
        <w:bottom w:val="none" w:sz="0" w:space="0" w:color="auto"/>
        <w:right w:val="none" w:sz="0" w:space="0" w:color="auto"/>
      </w:divBdr>
    </w:div>
    <w:div w:id="17791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5ADCC-C1A1-451E-BC59-34C656DD115D}"/>
</file>

<file path=customXml/itemProps2.xml><?xml version="1.0" encoding="utf-8"?>
<ds:datastoreItem xmlns:ds="http://schemas.openxmlformats.org/officeDocument/2006/customXml" ds:itemID="{4FC393BC-E871-4C33-AECF-F8D5FDF5907E}"/>
</file>

<file path=customXml/itemProps3.xml><?xml version="1.0" encoding="utf-8"?>
<ds:datastoreItem xmlns:ds="http://schemas.openxmlformats.org/officeDocument/2006/customXml" ds:itemID="{D16B85C2-3D00-4123-ACA4-C5CFEF7AB4D2}"/>
</file>

<file path=docProps/app.xml><?xml version="1.0" encoding="utf-8"?>
<Properties xmlns="http://schemas.openxmlformats.org/officeDocument/2006/extended-properties" xmlns:vt="http://schemas.openxmlformats.org/officeDocument/2006/docPropsVTypes">
  <Template>Normal</Template>
  <TotalTime>22</TotalTime>
  <Pages>8</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9</cp:revision>
  <cp:lastPrinted>2023-02-01T02:48:00Z</cp:lastPrinted>
  <dcterms:created xsi:type="dcterms:W3CDTF">2023-01-08T07:19:00Z</dcterms:created>
  <dcterms:modified xsi:type="dcterms:W3CDTF">2023-02-02T08:30:00Z</dcterms:modified>
</cp:coreProperties>
</file>