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8F" w:rsidRPr="005C590B" w:rsidRDefault="00DC1537" w:rsidP="005C590B">
      <w:pPr>
        <w:tabs>
          <w:tab w:val="center" w:pos="1843"/>
          <w:tab w:val="center" w:pos="6237"/>
        </w:tabs>
        <w:jc w:val="center"/>
        <w:rPr>
          <w:b/>
        </w:rPr>
      </w:pPr>
      <w:r w:rsidRPr="005C590B">
        <w:rPr>
          <w:b/>
        </w:rPr>
        <w:t>Phụ lục II</w:t>
      </w:r>
    </w:p>
    <w:p w:rsidR="00EA3DFB" w:rsidRDefault="00EA3DFB" w:rsidP="005C590B">
      <w:pPr>
        <w:tabs>
          <w:tab w:val="center" w:pos="1843"/>
          <w:tab w:val="center" w:pos="6237"/>
        </w:tabs>
        <w:jc w:val="center"/>
        <w:rPr>
          <w:b/>
        </w:rPr>
      </w:pPr>
      <w:r w:rsidRPr="005C590B">
        <w:rPr>
          <w:b/>
        </w:rPr>
        <w:t>PHÂN CÔNG TRÁCH NHIỆM THẨM ĐỊNH PHƯƠNG ÁN GIÁ</w:t>
      </w:r>
      <w:r w:rsidR="003B408F" w:rsidRPr="005C590B">
        <w:rPr>
          <w:b/>
        </w:rPr>
        <w:t xml:space="preserve"> ĐỐI VỚI HÀNG HÓA, DỊCH VỤ DO NHÀ NƯỚC ĐỊNH GIÁ</w:t>
      </w:r>
      <w:r w:rsidR="003B408F" w:rsidRPr="005C590B">
        <w:t xml:space="preserve"> </w:t>
      </w:r>
      <w:r w:rsidR="003B408F" w:rsidRPr="005C590B">
        <w:rPr>
          <w:b/>
        </w:rPr>
        <w:t>THUỘC THẨM QUYỀN CỦA UBND TỈNH</w:t>
      </w:r>
    </w:p>
    <w:p w:rsidR="005C590B" w:rsidRDefault="005C590B" w:rsidP="005C590B">
      <w:pPr>
        <w:tabs>
          <w:tab w:val="center" w:pos="1843"/>
          <w:tab w:val="center" w:pos="6237"/>
        </w:tabs>
        <w:jc w:val="center"/>
        <w:rPr>
          <w:i/>
        </w:rPr>
      </w:pPr>
      <w:r>
        <w:rPr>
          <w:i/>
        </w:rPr>
        <w:t xml:space="preserve">(Ban hành kèm theo Quyết định số 87/2024/QĐ-UBND </w:t>
      </w:r>
    </w:p>
    <w:p w:rsidR="005C590B" w:rsidRDefault="005C590B" w:rsidP="005C590B">
      <w:pPr>
        <w:tabs>
          <w:tab w:val="center" w:pos="1843"/>
          <w:tab w:val="center" w:pos="6237"/>
        </w:tabs>
        <w:jc w:val="center"/>
        <w:rPr>
          <w:i/>
        </w:rPr>
      </w:pPr>
      <w:r>
        <w:rPr>
          <w:i/>
        </w:rPr>
        <w:t>ngày 30 tháng 12 năm 2024 của Ủy ban nhân dân tỉnh Đồng Nai)</w:t>
      </w:r>
    </w:p>
    <w:p w:rsidR="00113103" w:rsidRDefault="00113103" w:rsidP="005C590B">
      <w:pPr>
        <w:tabs>
          <w:tab w:val="center" w:pos="1843"/>
          <w:tab w:val="center" w:pos="6237"/>
        </w:tabs>
        <w:jc w:val="center"/>
      </w:pPr>
    </w:p>
    <w:p w:rsidR="005C590B" w:rsidRPr="005C590B" w:rsidRDefault="005C590B" w:rsidP="005C590B">
      <w:pPr>
        <w:tabs>
          <w:tab w:val="center" w:pos="1843"/>
          <w:tab w:val="center" w:pos="6237"/>
        </w:tabs>
        <w:jc w:val="center"/>
      </w:pPr>
    </w:p>
    <w:tbl>
      <w:tblPr>
        <w:tblW w:w="964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
        <w:gridCol w:w="3095"/>
        <w:gridCol w:w="2569"/>
        <w:gridCol w:w="1877"/>
        <w:gridCol w:w="1398"/>
      </w:tblGrid>
      <w:tr w:rsidR="00BF2DA2" w:rsidRPr="00BF2DA2" w:rsidTr="005C590B">
        <w:trPr>
          <w:trHeight w:val="852"/>
          <w:tblHeader/>
        </w:trPr>
        <w:tc>
          <w:tcPr>
            <w:tcW w:w="709" w:type="dxa"/>
            <w:shd w:val="clear" w:color="auto" w:fill="auto"/>
            <w:vAlign w:val="center"/>
            <w:hideMark/>
          </w:tcPr>
          <w:p w:rsidR="00D64A9E" w:rsidRPr="00BF2DA2" w:rsidRDefault="00D64A9E" w:rsidP="00AB10F3">
            <w:pPr>
              <w:spacing w:before="60" w:after="60"/>
              <w:jc w:val="center"/>
              <w:rPr>
                <w:b/>
                <w:bCs/>
                <w:sz w:val="26"/>
                <w:szCs w:val="26"/>
              </w:rPr>
            </w:pPr>
            <w:r w:rsidRPr="00BF2DA2">
              <w:rPr>
                <w:b/>
                <w:bCs/>
                <w:sz w:val="26"/>
                <w:szCs w:val="26"/>
              </w:rPr>
              <w:t>STT</w:t>
            </w:r>
          </w:p>
        </w:tc>
        <w:tc>
          <w:tcPr>
            <w:tcW w:w="3095" w:type="dxa"/>
            <w:shd w:val="clear" w:color="auto" w:fill="auto"/>
            <w:vAlign w:val="center"/>
            <w:hideMark/>
          </w:tcPr>
          <w:p w:rsidR="00D64A9E" w:rsidRPr="00BF2DA2" w:rsidRDefault="00D64A9E" w:rsidP="00AB10F3">
            <w:pPr>
              <w:spacing w:before="60" w:after="60"/>
              <w:jc w:val="center"/>
              <w:rPr>
                <w:b/>
                <w:bCs/>
                <w:sz w:val="26"/>
                <w:szCs w:val="26"/>
              </w:rPr>
            </w:pPr>
            <w:bookmarkStart w:id="0" w:name="_GoBack"/>
            <w:bookmarkEnd w:id="0"/>
            <w:r w:rsidRPr="00BF2DA2">
              <w:rPr>
                <w:b/>
                <w:bCs/>
                <w:sz w:val="26"/>
                <w:szCs w:val="26"/>
              </w:rPr>
              <w:t>Tên hàng hóa, dịch vụ</w:t>
            </w:r>
          </w:p>
        </w:tc>
        <w:tc>
          <w:tcPr>
            <w:tcW w:w="2569" w:type="dxa"/>
            <w:shd w:val="clear" w:color="auto" w:fill="auto"/>
            <w:vAlign w:val="center"/>
            <w:hideMark/>
          </w:tcPr>
          <w:p w:rsidR="00D64A9E" w:rsidRPr="00BF2DA2" w:rsidRDefault="00D64A9E" w:rsidP="00AB10F3">
            <w:pPr>
              <w:spacing w:before="60" w:after="60"/>
              <w:jc w:val="center"/>
              <w:rPr>
                <w:b/>
                <w:bCs/>
                <w:sz w:val="26"/>
                <w:szCs w:val="26"/>
              </w:rPr>
            </w:pPr>
            <w:r w:rsidRPr="00BF2DA2">
              <w:rPr>
                <w:b/>
                <w:bCs/>
                <w:sz w:val="26"/>
                <w:szCs w:val="26"/>
              </w:rPr>
              <w:t>Thẩm quyền, hình thức định giá</w:t>
            </w:r>
          </w:p>
        </w:tc>
        <w:tc>
          <w:tcPr>
            <w:tcW w:w="1877" w:type="dxa"/>
            <w:shd w:val="clear" w:color="auto" w:fill="auto"/>
            <w:vAlign w:val="center"/>
          </w:tcPr>
          <w:p w:rsidR="00D64A9E" w:rsidRPr="00BF2DA2" w:rsidRDefault="00D64A9E" w:rsidP="00AB10F3">
            <w:pPr>
              <w:spacing w:before="60" w:after="60"/>
              <w:jc w:val="center"/>
              <w:rPr>
                <w:b/>
                <w:bCs/>
                <w:sz w:val="26"/>
                <w:szCs w:val="26"/>
              </w:rPr>
            </w:pPr>
            <w:r w:rsidRPr="00BF2DA2">
              <w:rPr>
                <w:b/>
                <w:bCs/>
                <w:sz w:val="26"/>
                <w:szCs w:val="26"/>
              </w:rPr>
              <w:t>Cơ quan thẩm định phương án giá</w:t>
            </w:r>
          </w:p>
        </w:tc>
        <w:tc>
          <w:tcPr>
            <w:tcW w:w="1398" w:type="dxa"/>
            <w:shd w:val="clear" w:color="auto" w:fill="auto"/>
            <w:vAlign w:val="center"/>
          </w:tcPr>
          <w:p w:rsidR="00D64A9E" w:rsidRPr="00BF2DA2" w:rsidRDefault="00D64A9E" w:rsidP="00AB10F3">
            <w:pPr>
              <w:spacing w:before="60" w:after="60"/>
              <w:jc w:val="center"/>
              <w:rPr>
                <w:b/>
                <w:bCs/>
                <w:sz w:val="26"/>
                <w:szCs w:val="26"/>
              </w:rPr>
            </w:pPr>
            <w:r w:rsidRPr="00BF2DA2">
              <w:rPr>
                <w:b/>
                <w:bCs/>
                <w:sz w:val="26"/>
                <w:szCs w:val="26"/>
              </w:rPr>
              <w:t>Ghi chú</w:t>
            </w: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sử dụng đường bộ của các dự án đầu tư xây dựng đường bộ (trừ dịch vụ sử dụng đường bộ cao tốc) để kinh doanh, do địa phương quản lý</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tối đa</w:t>
            </w:r>
          </w:p>
        </w:tc>
        <w:tc>
          <w:tcPr>
            <w:tcW w:w="1877" w:type="dxa"/>
            <w:shd w:val="clear" w:color="auto" w:fill="auto"/>
            <w:vAlign w:val="center"/>
          </w:tcPr>
          <w:p w:rsidR="00D64A9E" w:rsidRPr="00BF2DA2" w:rsidRDefault="00D805EA" w:rsidP="00E262B9">
            <w:pPr>
              <w:spacing w:before="60" w:after="60"/>
              <w:jc w:val="center"/>
              <w:rPr>
                <w:sz w:val="26"/>
                <w:szCs w:val="26"/>
              </w:rPr>
            </w:pPr>
            <w:r w:rsidRPr="00BF2DA2">
              <w:rPr>
                <w:sz w:val="26"/>
                <w:szCs w:val="26"/>
              </w:rPr>
              <w:t>Sở Giao thông v</w:t>
            </w:r>
            <w:r w:rsidR="00D64A9E" w:rsidRPr="00BF2DA2">
              <w:rPr>
                <w:sz w:val="26"/>
                <w:szCs w:val="26"/>
              </w:rPr>
              <w:t>ận tải</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vMerge w:val="restart"/>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2</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sử dụng phà được đầu tư từ nguồn vốn ngân sách nhà nước, do địa phương quản lý</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khung giá</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 xml:space="preserve">Sở </w:t>
            </w:r>
            <w:r w:rsidR="00D805EA" w:rsidRPr="00BF2DA2">
              <w:rPr>
                <w:sz w:val="26"/>
                <w:szCs w:val="26"/>
              </w:rPr>
              <w:t>Giao thông v</w:t>
            </w:r>
            <w:r w:rsidRPr="00BF2DA2">
              <w:rPr>
                <w:sz w:val="26"/>
                <w:szCs w:val="26"/>
              </w:rPr>
              <w:t>ận tải</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vMerge/>
            <w:shd w:val="clear" w:color="auto" w:fill="auto"/>
            <w:vAlign w:val="center"/>
            <w:hideMark/>
          </w:tcPr>
          <w:p w:rsidR="00D64A9E" w:rsidRPr="00BF2DA2" w:rsidRDefault="00D64A9E" w:rsidP="00AB10F3">
            <w:pPr>
              <w:spacing w:before="60" w:after="60"/>
              <w:jc w:val="center"/>
              <w:rPr>
                <w:sz w:val="26"/>
                <w:szCs w:val="26"/>
              </w:rPr>
            </w:pP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sử dụng phà được đầu tư từ nguồn vốn ngoài ngân sách nhà nước, do địa phương quản lý</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tối đa</w:t>
            </w:r>
          </w:p>
        </w:tc>
        <w:tc>
          <w:tcPr>
            <w:tcW w:w="1877" w:type="dxa"/>
            <w:shd w:val="clear" w:color="auto" w:fill="auto"/>
            <w:vAlign w:val="center"/>
          </w:tcPr>
          <w:p w:rsidR="00D64A9E" w:rsidRPr="00BF2DA2" w:rsidRDefault="00D805EA" w:rsidP="00E262B9">
            <w:pPr>
              <w:spacing w:before="60" w:after="60"/>
              <w:jc w:val="center"/>
              <w:rPr>
                <w:sz w:val="26"/>
                <w:szCs w:val="26"/>
              </w:rPr>
            </w:pPr>
            <w:r w:rsidRPr="00BF2DA2">
              <w:rPr>
                <w:sz w:val="26"/>
                <w:szCs w:val="26"/>
              </w:rPr>
              <w:t>Sở Giao thông v</w:t>
            </w:r>
            <w:r w:rsidR="00D64A9E" w:rsidRPr="00BF2DA2">
              <w:rPr>
                <w:sz w:val="26"/>
                <w:szCs w:val="26"/>
              </w:rPr>
              <w:t>ận tải</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3</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sử dụng cảng, nhà ga (bao gồm cảng, bến thủy nội địa; cảng cá) được đầu tư từ nguồn vốn ngân sách nhà nước, do địa phương quản lý</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tối đa</w:t>
            </w:r>
          </w:p>
        </w:tc>
        <w:tc>
          <w:tcPr>
            <w:tcW w:w="1877" w:type="dxa"/>
            <w:shd w:val="clear" w:color="auto" w:fill="auto"/>
            <w:vAlign w:val="center"/>
          </w:tcPr>
          <w:p w:rsidR="00D64A9E" w:rsidRPr="00BF2DA2" w:rsidRDefault="00D805EA" w:rsidP="00E262B9">
            <w:pPr>
              <w:spacing w:before="60" w:after="60"/>
              <w:jc w:val="center"/>
              <w:rPr>
                <w:sz w:val="26"/>
                <w:szCs w:val="26"/>
              </w:rPr>
            </w:pPr>
            <w:r w:rsidRPr="00BF2DA2">
              <w:rPr>
                <w:sz w:val="26"/>
                <w:szCs w:val="26"/>
              </w:rPr>
              <w:t>Sở Giao thông v</w:t>
            </w:r>
            <w:r w:rsidR="00D64A9E" w:rsidRPr="00BF2DA2">
              <w:rPr>
                <w:sz w:val="26"/>
                <w:szCs w:val="26"/>
              </w:rPr>
              <w:t>ận tải</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4</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Sản phẩm, dịch vụ công ích thủy lợi đối với công trình thủy lợi sử dụng vốn nhà nước thuộc phạm vi, thẩm quyền quản lý, đặt hàng của địa phương</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Nông nghiệp và Phát triển nông thôn</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5</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Sản phẩm, dịch vụ thủy lợi khác đối với công trình thủy lợi sử dụng vốn nhà nước thuộc phạm vi, thẩm quyền quản lý của địa phương</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Nông nghiệp và Phát triển nông thôn</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1104"/>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lastRenderedPageBreak/>
              <w:t>6</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Nước sạch</w:t>
            </w:r>
          </w:p>
        </w:tc>
        <w:tc>
          <w:tcPr>
            <w:tcW w:w="2569" w:type="dxa"/>
            <w:shd w:val="clear" w:color="auto" w:fill="auto"/>
            <w:vAlign w:val="center"/>
            <w:hideMark/>
          </w:tcPr>
          <w:p w:rsidR="00D64A9E" w:rsidRPr="00BF2DA2" w:rsidRDefault="00D64A9E" w:rsidP="005843C8">
            <w:pPr>
              <w:jc w:val="both"/>
              <w:rPr>
                <w:sz w:val="26"/>
                <w:szCs w:val="26"/>
              </w:rPr>
            </w:pPr>
            <w:r w:rsidRPr="00BF2DA2">
              <w:rPr>
                <w:sz w:val="26"/>
                <w:szCs w:val="26"/>
              </w:rPr>
              <w:t>- Bộ Tài chính định khung giá</w:t>
            </w:r>
          </w:p>
          <w:p w:rsidR="00D64A9E" w:rsidRPr="00BF2DA2" w:rsidRDefault="00D64A9E" w:rsidP="005843C8">
            <w:pPr>
              <w:jc w:val="both"/>
              <w:rPr>
                <w:sz w:val="26"/>
                <w:szCs w:val="26"/>
              </w:rPr>
            </w:pPr>
            <w:r w:rsidRPr="00BF2DA2">
              <w:rPr>
                <w:sz w:val="26"/>
                <w:szCs w:val="26"/>
              </w:rPr>
              <w:t>- UBND tỉnh định giá cụ thể</w:t>
            </w:r>
          </w:p>
        </w:tc>
        <w:tc>
          <w:tcPr>
            <w:tcW w:w="1877" w:type="dxa"/>
            <w:shd w:val="clear" w:color="auto" w:fill="auto"/>
            <w:vAlign w:val="center"/>
          </w:tcPr>
          <w:p w:rsidR="00D64A9E" w:rsidRPr="00BF2DA2" w:rsidRDefault="00D805EA" w:rsidP="005843C8">
            <w:pPr>
              <w:spacing w:before="60" w:after="60"/>
              <w:jc w:val="center"/>
              <w:rPr>
                <w:sz w:val="26"/>
                <w:szCs w:val="26"/>
              </w:rPr>
            </w:pPr>
            <w:r w:rsidRPr="00BF2DA2">
              <w:rPr>
                <w:sz w:val="26"/>
                <w:szCs w:val="26"/>
              </w:rPr>
              <w:t xml:space="preserve">Sở Xây dựng chủ trì, cùng Sở </w:t>
            </w:r>
            <w:r w:rsidR="005843C8">
              <w:rPr>
                <w:sz w:val="26"/>
                <w:szCs w:val="26"/>
              </w:rPr>
              <w:t>Nông nghiệp</w:t>
            </w:r>
            <w:r w:rsidRPr="00BF2DA2">
              <w:rPr>
                <w:sz w:val="26"/>
                <w:szCs w:val="26"/>
              </w:rPr>
              <w:t xml:space="preserve"> và PTNT</w:t>
            </w:r>
          </w:p>
        </w:tc>
        <w:tc>
          <w:tcPr>
            <w:tcW w:w="1398" w:type="dxa"/>
            <w:shd w:val="clear" w:color="auto" w:fill="auto"/>
            <w:vAlign w:val="center"/>
          </w:tcPr>
          <w:p w:rsidR="00D64A9E" w:rsidRPr="00BF2DA2" w:rsidRDefault="00D64A9E" w:rsidP="00AB10F3">
            <w:pPr>
              <w:spacing w:before="60" w:after="60"/>
              <w:jc w:val="center"/>
              <w:rPr>
                <w:sz w:val="26"/>
                <w:szCs w:val="26"/>
              </w:rPr>
            </w:pPr>
            <w:r w:rsidRPr="00BF2DA2">
              <w:rPr>
                <w:sz w:val="26"/>
                <w:szCs w:val="26"/>
              </w:rPr>
              <w:t>Hai cấp định giá</w:t>
            </w:r>
          </w:p>
        </w:tc>
      </w:tr>
      <w:tr w:rsidR="00BF2DA2" w:rsidRPr="00BF2DA2" w:rsidTr="005C590B">
        <w:trPr>
          <w:trHeight w:val="948"/>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7</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Các Sở quản lý ngành, lĩnh vực của sản phẩm, dịch vụ công</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1104"/>
        </w:trPr>
        <w:tc>
          <w:tcPr>
            <w:tcW w:w="709" w:type="dxa"/>
            <w:vMerge w:val="restart"/>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8</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kiểm dịch y tế, y tế dự phòng tại cơ sở y tế công lập</w:t>
            </w:r>
          </w:p>
        </w:tc>
        <w:tc>
          <w:tcPr>
            <w:tcW w:w="2569" w:type="dxa"/>
            <w:shd w:val="clear" w:color="auto" w:fill="auto"/>
            <w:vAlign w:val="center"/>
            <w:hideMark/>
          </w:tcPr>
          <w:p w:rsidR="00D64A9E" w:rsidRPr="005843C8" w:rsidRDefault="00D64A9E" w:rsidP="005843C8">
            <w:pPr>
              <w:spacing w:before="20" w:after="20"/>
              <w:jc w:val="both"/>
              <w:rPr>
                <w:spacing w:val="-8"/>
                <w:sz w:val="26"/>
                <w:szCs w:val="26"/>
              </w:rPr>
            </w:pPr>
            <w:r w:rsidRPr="005843C8">
              <w:rPr>
                <w:spacing w:val="-8"/>
                <w:sz w:val="26"/>
                <w:szCs w:val="26"/>
              </w:rPr>
              <w:t>- Bộ Y tế định giá tối đa</w:t>
            </w:r>
          </w:p>
          <w:p w:rsidR="00D64A9E" w:rsidRPr="00BF2DA2" w:rsidRDefault="00D64A9E" w:rsidP="005843C8">
            <w:pPr>
              <w:spacing w:before="20" w:after="20"/>
              <w:jc w:val="both"/>
              <w:rPr>
                <w:sz w:val="26"/>
                <w:szCs w:val="26"/>
              </w:rPr>
            </w:pPr>
            <w:r w:rsidRPr="00BF2DA2">
              <w:rPr>
                <w:sz w:val="26"/>
                <w:szCs w:val="26"/>
              </w:rPr>
              <w:t>- 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Y tế</w:t>
            </w:r>
          </w:p>
        </w:tc>
        <w:tc>
          <w:tcPr>
            <w:tcW w:w="1398" w:type="dxa"/>
            <w:shd w:val="clear" w:color="auto" w:fill="auto"/>
            <w:vAlign w:val="center"/>
          </w:tcPr>
          <w:p w:rsidR="00D64A9E" w:rsidRPr="00BF2DA2" w:rsidRDefault="00D64A9E" w:rsidP="00AB10F3">
            <w:pPr>
              <w:spacing w:before="60" w:after="60"/>
              <w:jc w:val="center"/>
              <w:rPr>
                <w:sz w:val="26"/>
                <w:szCs w:val="26"/>
              </w:rPr>
            </w:pPr>
            <w:r w:rsidRPr="00BF2DA2">
              <w:rPr>
                <w:sz w:val="26"/>
                <w:szCs w:val="26"/>
              </w:rPr>
              <w:t>Hai cấp định giá</w:t>
            </w:r>
          </w:p>
        </w:tc>
      </w:tr>
      <w:tr w:rsidR="00BF2DA2" w:rsidRPr="00BF2DA2" w:rsidTr="005C590B">
        <w:trPr>
          <w:trHeight w:val="1104"/>
        </w:trPr>
        <w:tc>
          <w:tcPr>
            <w:tcW w:w="709" w:type="dxa"/>
            <w:vMerge/>
            <w:shd w:val="clear" w:color="auto" w:fill="auto"/>
            <w:vAlign w:val="center"/>
            <w:hideMark/>
          </w:tcPr>
          <w:p w:rsidR="00D64A9E" w:rsidRPr="00BF2DA2" w:rsidRDefault="00D64A9E" w:rsidP="00AB10F3">
            <w:pPr>
              <w:spacing w:before="60" w:after="60"/>
              <w:jc w:val="center"/>
              <w:rPr>
                <w:sz w:val="26"/>
                <w:szCs w:val="26"/>
              </w:rPr>
            </w:pPr>
          </w:p>
        </w:tc>
        <w:tc>
          <w:tcPr>
            <w:tcW w:w="3095" w:type="dxa"/>
            <w:shd w:val="clear" w:color="auto" w:fill="auto"/>
            <w:vAlign w:val="center"/>
            <w:hideMark/>
          </w:tcPr>
          <w:p w:rsidR="00D64A9E" w:rsidRPr="005843C8" w:rsidRDefault="00D64A9E" w:rsidP="00E262B9">
            <w:pPr>
              <w:spacing w:before="60" w:after="60"/>
              <w:jc w:val="both"/>
              <w:rPr>
                <w:spacing w:val="-2"/>
                <w:sz w:val="26"/>
                <w:szCs w:val="26"/>
              </w:rPr>
            </w:pPr>
            <w:r w:rsidRPr="005843C8">
              <w:rPr>
                <w:spacing w:val="-2"/>
                <w:sz w:val="26"/>
                <w:szCs w:val="26"/>
              </w:rPr>
              <w:t>Dịch vụ điều trị nghiện chất dạng thuốc phiện tại các đơn vị sự nghiệp công lập</w:t>
            </w:r>
          </w:p>
        </w:tc>
        <w:tc>
          <w:tcPr>
            <w:tcW w:w="2569" w:type="dxa"/>
            <w:shd w:val="clear" w:color="auto" w:fill="auto"/>
            <w:vAlign w:val="center"/>
            <w:hideMark/>
          </w:tcPr>
          <w:p w:rsidR="00D64A9E" w:rsidRPr="005843C8" w:rsidRDefault="00D64A9E" w:rsidP="005843C8">
            <w:pPr>
              <w:spacing w:before="20" w:after="20"/>
              <w:jc w:val="both"/>
              <w:rPr>
                <w:spacing w:val="-8"/>
                <w:sz w:val="26"/>
                <w:szCs w:val="26"/>
              </w:rPr>
            </w:pPr>
            <w:r w:rsidRPr="005843C8">
              <w:rPr>
                <w:spacing w:val="-8"/>
                <w:sz w:val="26"/>
                <w:szCs w:val="26"/>
              </w:rPr>
              <w:t>- Bộ Y tế định giá tối đa</w:t>
            </w:r>
          </w:p>
          <w:p w:rsidR="00D64A9E" w:rsidRPr="00BF2DA2" w:rsidRDefault="00D64A9E" w:rsidP="005843C8">
            <w:pPr>
              <w:spacing w:before="20" w:after="20"/>
              <w:jc w:val="both"/>
              <w:rPr>
                <w:sz w:val="26"/>
                <w:szCs w:val="26"/>
              </w:rPr>
            </w:pPr>
            <w:r w:rsidRPr="00BF2DA2">
              <w:rPr>
                <w:sz w:val="26"/>
                <w:szCs w:val="26"/>
              </w:rPr>
              <w:t>- 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Y tế</w:t>
            </w:r>
          </w:p>
        </w:tc>
        <w:tc>
          <w:tcPr>
            <w:tcW w:w="1398" w:type="dxa"/>
            <w:shd w:val="clear" w:color="auto" w:fill="auto"/>
            <w:vAlign w:val="center"/>
          </w:tcPr>
          <w:p w:rsidR="00D64A9E" w:rsidRPr="00BF2DA2" w:rsidRDefault="00D64A9E" w:rsidP="00AB10F3">
            <w:pPr>
              <w:spacing w:before="60" w:after="60"/>
              <w:jc w:val="center"/>
              <w:rPr>
                <w:sz w:val="26"/>
                <w:szCs w:val="26"/>
              </w:rPr>
            </w:pPr>
            <w:r w:rsidRPr="00BF2DA2">
              <w:rPr>
                <w:sz w:val="26"/>
                <w:szCs w:val="26"/>
              </w:rPr>
              <w:t>Hai cấp định giá</w:t>
            </w:r>
          </w:p>
        </w:tc>
      </w:tr>
      <w:tr w:rsidR="00BF2DA2" w:rsidRPr="00BF2DA2" w:rsidTr="005C590B">
        <w:trPr>
          <w:trHeight w:val="1260"/>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9</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sự nghiệp công sử dụng ngân sách nhà nước tính giá theo lộ trình thu của người sử dụng dịch vụ</w:t>
            </w:r>
          </w:p>
        </w:tc>
        <w:tc>
          <w:tcPr>
            <w:tcW w:w="2569"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Các Bộ, cơ quan ngang Bộ, UBND tỉnh theo lĩnh vực định giá khung giá, giá tối đa, giá cụ thể tùy dịch vụ</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Các Sở quản lý ngành, lĩnh vực của dịch vụ sự nghiệp công</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10</w:t>
            </w:r>
          </w:p>
        </w:tc>
        <w:tc>
          <w:tcPr>
            <w:tcW w:w="3095" w:type="dxa"/>
            <w:shd w:val="clear" w:color="auto" w:fill="auto"/>
            <w:vAlign w:val="center"/>
            <w:hideMark/>
          </w:tcPr>
          <w:p w:rsidR="00D64A9E" w:rsidRPr="005843C8" w:rsidRDefault="00D64A9E" w:rsidP="00E262B9">
            <w:pPr>
              <w:spacing w:before="60" w:after="60"/>
              <w:jc w:val="both"/>
              <w:rPr>
                <w:spacing w:val="-4"/>
                <w:sz w:val="26"/>
                <w:szCs w:val="26"/>
              </w:rPr>
            </w:pPr>
            <w:r w:rsidRPr="005843C8">
              <w:rPr>
                <w:spacing w:val="-4"/>
                <w:sz w:val="26"/>
                <w:szCs w:val="26"/>
              </w:rPr>
              <w:t>Rừng đặc dụng, rừng phòng hộ, rừng sản xuất thuộc sở hữu toàn dân thuộc phạm vi quản lý của địa phương</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khung giá</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Nông nghiệp và Phát triển nông thon</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948"/>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11</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Tài nguyên và Môi trường</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12</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nghĩa trang, dịch vụ hỏa táng của cơ sở hỏa táng được đầu tư từ nguồn vốn ngân sách nhà nước</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 xml:space="preserve">Sở </w:t>
            </w:r>
            <w:r w:rsidR="00D805EA" w:rsidRPr="00BF2DA2">
              <w:rPr>
                <w:sz w:val="26"/>
                <w:szCs w:val="26"/>
              </w:rPr>
              <w:t>Xây dựng</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lastRenderedPageBreak/>
              <w:t>13</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ra, vào bến xe ô tô</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tối đa</w:t>
            </w:r>
          </w:p>
        </w:tc>
        <w:tc>
          <w:tcPr>
            <w:tcW w:w="1877" w:type="dxa"/>
            <w:shd w:val="clear" w:color="auto" w:fill="auto"/>
            <w:vAlign w:val="center"/>
          </w:tcPr>
          <w:p w:rsidR="00D64A9E" w:rsidRPr="00BF2DA2" w:rsidRDefault="00D805EA" w:rsidP="00E262B9">
            <w:pPr>
              <w:spacing w:before="60" w:after="60"/>
              <w:jc w:val="center"/>
              <w:rPr>
                <w:sz w:val="26"/>
                <w:szCs w:val="26"/>
              </w:rPr>
            </w:pPr>
            <w:r w:rsidRPr="00BF2DA2">
              <w:rPr>
                <w:sz w:val="26"/>
                <w:szCs w:val="26"/>
              </w:rPr>
              <w:t>Sở Giao thông v</w:t>
            </w:r>
            <w:r w:rsidR="00D64A9E" w:rsidRPr="00BF2DA2">
              <w:rPr>
                <w:sz w:val="26"/>
                <w:szCs w:val="26"/>
              </w:rPr>
              <w:t>ận tải</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14</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vận tải hành khách, hành lý trên đường sắt đô thị</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805EA" w:rsidP="00E262B9">
            <w:pPr>
              <w:spacing w:before="60" w:after="60"/>
              <w:jc w:val="center"/>
              <w:rPr>
                <w:sz w:val="26"/>
                <w:szCs w:val="26"/>
              </w:rPr>
            </w:pPr>
            <w:r w:rsidRPr="00BF2DA2">
              <w:rPr>
                <w:sz w:val="26"/>
                <w:szCs w:val="26"/>
              </w:rPr>
              <w:t>Sở Giao thông v</w:t>
            </w:r>
            <w:r w:rsidR="00D64A9E" w:rsidRPr="00BF2DA2">
              <w:rPr>
                <w:sz w:val="26"/>
                <w:szCs w:val="26"/>
              </w:rPr>
              <w:t>ận tải</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3132"/>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15</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thu gom, vận chuyển, xử lý chất thải rắn sinh hoạt</w:t>
            </w:r>
          </w:p>
        </w:tc>
        <w:tc>
          <w:tcPr>
            <w:tcW w:w="2569" w:type="dxa"/>
            <w:shd w:val="clear" w:color="auto" w:fill="auto"/>
            <w:vAlign w:val="center"/>
            <w:hideMark/>
          </w:tcPr>
          <w:p w:rsidR="00D64A9E" w:rsidRPr="005843C8" w:rsidRDefault="00D64A9E" w:rsidP="00E262B9">
            <w:pPr>
              <w:spacing w:before="60" w:after="60"/>
              <w:jc w:val="both"/>
              <w:rPr>
                <w:spacing w:val="-6"/>
                <w:sz w:val="26"/>
                <w:szCs w:val="26"/>
              </w:rPr>
            </w:pPr>
            <w:r w:rsidRPr="005843C8">
              <w:rPr>
                <w:spacing w:val="-6"/>
                <w:sz w:val="26"/>
                <w:szCs w:val="26"/>
              </w:rPr>
              <w:t>UBND tỉnh định giá tối đa áp dụng đối với chủ đầu tư, cơ sở thu gom, vận chuyển và xử lý chất thải rắn sinh hoạt; định giá cụ thể đối với cơ quan, tổ chức, cơ sở sản xuất, kinh doanh, dịch vụ, khu sản xuất, kinh doanh, dịch vụ tập trung, cụm công nghiệp, hộ gia đình, cá nhân</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Tài nguyên và Môi trường</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16</w:t>
            </w:r>
          </w:p>
        </w:tc>
        <w:tc>
          <w:tcPr>
            <w:tcW w:w="3095" w:type="dxa"/>
            <w:shd w:val="clear" w:color="auto" w:fill="auto"/>
            <w:vAlign w:val="center"/>
            <w:hideMark/>
          </w:tcPr>
          <w:p w:rsidR="00D64A9E" w:rsidRPr="005843C8" w:rsidRDefault="00D64A9E" w:rsidP="0032330E">
            <w:pPr>
              <w:spacing w:before="60" w:after="60"/>
              <w:jc w:val="both"/>
              <w:rPr>
                <w:spacing w:val="-4"/>
                <w:sz w:val="26"/>
                <w:szCs w:val="26"/>
              </w:rPr>
            </w:pPr>
            <w:r w:rsidRPr="005843C8">
              <w:rPr>
                <w:spacing w:val="-4"/>
                <w:sz w:val="26"/>
                <w:szCs w:val="26"/>
              </w:rPr>
              <w:t>Dịch vụ thoát nước và xử lý nước thải (trừ giá dịch vụ thoát nước và xử lý nước thải đối</w:t>
            </w:r>
            <w:r w:rsidR="0032330E">
              <w:rPr>
                <w:spacing w:val="-4"/>
                <w:sz w:val="26"/>
                <w:szCs w:val="26"/>
              </w:rPr>
              <w:t xml:space="preserve"> với </w:t>
            </w:r>
            <w:r w:rsidRPr="005843C8">
              <w:rPr>
                <w:spacing w:val="-4"/>
                <w:sz w:val="26"/>
                <w:szCs w:val="26"/>
              </w:rPr>
              <w:t>khu công nghiệp, cụm công nghiệp được đầu tư bằng nguồn vốn ngoài ngân sách nhà nước)</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Xây dựng</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17</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trông giữ xe được đầu tư bằng nguồn vốn ngân sách nhà nước</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805EA" w:rsidP="00E262B9">
            <w:pPr>
              <w:spacing w:before="60" w:after="60"/>
              <w:jc w:val="center"/>
              <w:rPr>
                <w:sz w:val="26"/>
                <w:szCs w:val="26"/>
              </w:rPr>
            </w:pPr>
            <w:r w:rsidRPr="00BF2DA2">
              <w:rPr>
                <w:sz w:val="26"/>
                <w:szCs w:val="26"/>
              </w:rPr>
              <w:t>Sở Giao thông v</w:t>
            </w:r>
            <w:r w:rsidR="00D64A9E" w:rsidRPr="00BF2DA2">
              <w:rPr>
                <w:sz w:val="26"/>
                <w:szCs w:val="26"/>
              </w:rPr>
              <w:t>ận tải</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18</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thuê công trình hạ tầng kỹ thuật dùng chung đầu tư từ nguồn ngân sách nhà nước</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Xây dựng</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19</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theo yêu cầu liên quan đến việc công chứng</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tối đa</w:t>
            </w:r>
          </w:p>
        </w:tc>
        <w:tc>
          <w:tcPr>
            <w:tcW w:w="1877" w:type="dxa"/>
            <w:shd w:val="clear" w:color="auto" w:fill="auto"/>
            <w:vAlign w:val="center"/>
          </w:tcPr>
          <w:p w:rsidR="00D64A9E" w:rsidRPr="00BF2DA2" w:rsidRDefault="00D64A9E" w:rsidP="00E262B9">
            <w:pPr>
              <w:spacing w:before="60" w:after="60"/>
              <w:jc w:val="center"/>
              <w:rPr>
                <w:sz w:val="26"/>
                <w:szCs w:val="26"/>
              </w:rPr>
            </w:pPr>
            <w:r w:rsidRPr="00BF2DA2">
              <w:rPr>
                <w:sz w:val="26"/>
                <w:szCs w:val="26"/>
              </w:rPr>
              <w:t>Sở Tư pháp</w:t>
            </w:r>
          </w:p>
        </w:tc>
        <w:tc>
          <w:tcPr>
            <w:tcW w:w="1398" w:type="dxa"/>
            <w:shd w:val="clear" w:color="auto" w:fill="auto"/>
            <w:vAlign w:val="center"/>
          </w:tcPr>
          <w:p w:rsidR="00D64A9E" w:rsidRPr="00BF2DA2" w:rsidRDefault="00D64A9E" w:rsidP="00AB10F3">
            <w:pPr>
              <w:spacing w:before="60" w:after="60"/>
              <w:jc w:val="center"/>
              <w:rPr>
                <w:sz w:val="26"/>
                <w:szCs w:val="26"/>
              </w:rPr>
            </w:pPr>
          </w:p>
        </w:tc>
      </w:tr>
      <w:tr w:rsidR="00BF2DA2" w:rsidRPr="00BF2DA2" w:rsidTr="005C590B">
        <w:trPr>
          <w:trHeight w:val="636"/>
        </w:trPr>
        <w:tc>
          <w:tcPr>
            <w:tcW w:w="709" w:type="dxa"/>
            <w:shd w:val="clear" w:color="auto" w:fill="auto"/>
            <w:vAlign w:val="center"/>
            <w:hideMark/>
          </w:tcPr>
          <w:p w:rsidR="00D64A9E" w:rsidRPr="00BF2DA2" w:rsidRDefault="00D64A9E" w:rsidP="00AB10F3">
            <w:pPr>
              <w:spacing w:before="60" w:after="60"/>
              <w:jc w:val="center"/>
              <w:rPr>
                <w:sz w:val="26"/>
                <w:szCs w:val="26"/>
              </w:rPr>
            </w:pPr>
            <w:r w:rsidRPr="00BF2DA2">
              <w:rPr>
                <w:sz w:val="26"/>
                <w:szCs w:val="26"/>
              </w:rPr>
              <w:t>20</w:t>
            </w:r>
          </w:p>
        </w:tc>
        <w:tc>
          <w:tcPr>
            <w:tcW w:w="3095" w:type="dxa"/>
            <w:shd w:val="clear" w:color="auto" w:fill="auto"/>
            <w:vAlign w:val="center"/>
            <w:hideMark/>
          </w:tcPr>
          <w:p w:rsidR="00D64A9E" w:rsidRPr="00BF2DA2" w:rsidRDefault="00D64A9E" w:rsidP="00E262B9">
            <w:pPr>
              <w:spacing w:before="60" w:after="60"/>
              <w:jc w:val="both"/>
              <w:rPr>
                <w:sz w:val="26"/>
                <w:szCs w:val="26"/>
              </w:rPr>
            </w:pPr>
            <w:r w:rsidRPr="00BF2DA2">
              <w:rPr>
                <w:sz w:val="26"/>
                <w:szCs w:val="26"/>
              </w:rPr>
              <w:t>Dịch vụ sử dụng diện tích bán hàng tại chợ được đầu tư từ nguồn vốn nhà nước</w:t>
            </w:r>
          </w:p>
        </w:tc>
        <w:tc>
          <w:tcPr>
            <w:tcW w:w="2569" w:type="dxa"/>
            <w:shd w:val="clear" w:color="auto" w:fill="auto"/>
            <w:vAlign w:val="center"/>
            <w:hideMark/>
          </w:tcPr>
          <w:p w:rsidR="00D64A9E" w:rsidRPr="00BF2DA2" w:rsidRDefault="00D64A9E" w:rsidP="0032330E">
            <w:pPr>
              <w:spacing w:before="60" w:after="60"/>
              <w:jc w:val="center"/>
              <w:rPr>
                <w:sz w:val="26"/>
                <w:szCs w:val="26"/>
              </w:rPr>
            </w:pPr>
            <w:r w:rsidRPr="00BF2DA2">
              <w:rPr>
                <w:sz w:val="26"/>
                <w:szCs w:val="26"/>
              </w:rPr>
              <w:t>UBND tỉnh định giá cụ thể</w:t>
            </w:r>
          </w:p>
        </w:tc>
        <w:tc>
          <w:tcPr>
            <w:tcW w:w="1877" w:type="dxa"/>
            <w:shd w:val="clear" w:color="auto" w:fill="auto"/>
            <w:vAlign w:val="center"/>
          </w:tcPr>
          <w:p w:rsidR="00381097" w:rsidRPr="00BF2DA2" w:rsidRDefault="0001328F" w:rsidP="00E262B9">
            <w:pPr>
              <w:spacing w:before="60" w:after="60"/>
              <w:jc w:val="center"/>
              <w:rPr>
                <w:sz w:val="26"/>
                <w:szCs w:val="26"/>
              </w:rPr>
            </w:pPr>
            <w:r w:rsidRPr="00BF2DA2">
              <w:rPr>
                <w:sz w:val="26"/>
                <w:szCs w:val="26"/>
              </w:rPr>
              <w:t>Sở Công Thương</w:t>
            </w:r>
          </w:p>
        </w:tc>
        <w:tc>
          <w:tcPr>
            <w:tcW w:w="1398" w:type="dxa"/>
            <w:shd w:val="clear" w:color="auto" w:fill="auto"/>
            <w:vAlign w:val="center"/>
          </w:tcPr>
          <w:p w:rsidR="00D64A9E" w:rsidRPr="00BF2DA2" w:rsidRDefault="00D64A9E" w:rsidP="00AB10F3">
            <w:pPr>
              <w:spacing w:before="60" w:after="60"/>
              <w:jc w:val="center"/>
              <w:rPr>
                <w:sz w:val="26"/>
                <w:szCs w:val="26"/>
              </w:rPr>
            </w:pPr>
          </w:p>
        </w:tc>
      </w:tr>
    </w:tbl>
    <w:p w:rsidR="00BC0292" w:rsidRPr="00BF2DA2" w:rsidRDefault="00BC0292" w:rsidP="00D17FAF">
      <w:pPr>
        <w:tabs>
          <w:tab w:val="center" w:pos="1843"/>
          <w:tab w:val="center" w:pos="6237"/>
        </w:tabs>
        <w:spacing w:before="60" w:after="60"/>
      </w:pPr>
    </w:p>
    <w:sectPr w:rsidR="00BC0292" w:rsidRPr="00BF2DA2" w:rsidSect="005C590B">
      <w:head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575" w:rsidRDefault="004F0575">
      <w:r>
        <w:separator/>
      </w:r>
    </w:p>
  </w:endnote>
  <w:endnote w:type="continuationSeparator" w:id="0">
    <w:p w:rsidR="004F0575" w:rsidRDefault="004F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Segoe UI Semilight"/>
    <w:charset w:val="00"/>
    <w:family w:val="swiss"/>
    <w:pitch w:val="variable"/>
    <w:sig w:usb0="00000000"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575" w:rsidRDefault="004F0575">
      <w:r>
        <w:separator/>
      </w:r>
    </w:p>
  </w:footnote>
  <w:footnote w:type="continuationSeparator" w:id="0">
    <w:p w:rsidR="004F0575" w:rsidRDefault="004F0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BA" w:rsidRPr="005C590B" w:rsidRDefault="00BB63BA" w:rsidP="005C590B">
    <w:pPr>
      <w:pStyle w:val="Header"/>
    </w:pPr>
  </w:p>
  <w:p w:rsidR="005C590B" w:rsidRPr="005C590B" w:rsidRDefault="005C590B" w:rsidP="005C59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328F"/>
    <w:rsid w:val="00015DE0"/>
    <w:rsid w:val="00016942"/>
    <w:rsid w:val="00017D9D"/>
    <w:rsid w:val="000204AE"/>
    <w:rsid w:val="00020E0F"/>
    <w:rsid w:val="000210DF"/>
    <w:rsid w:val="0002156E"/>
    <w:rsid w:val="000218F2"/>
    <w:rsid w:val="0002368B"/>
    <w:rsid w:val="00023B8D"/>
    <w:rsid w:val="000251AF"/>
    <w:rsid w:val="000253BC"/>
    <w:rsid w:val="00026BA9"/>
    <w:rsid w:val="00026ECC"/>
    <w:rsid w:val="0002739E"/>
    <w:rsid w:val="0003127B"/>
    <w:rsid w:val="00032260"/>
    <w:rsid w:val="00032B64"/>
    <w:rsid w:val="00032B6B"/>
    <w:rsid w:val="00034275"/>
    <w:rsid w:val="0003610F"/>
    <w:rsid w:val="0003640E"/>
    <w:rsid w:val="00037460"/>
    <w:rsid w:val="00037BB0"/>
    <w:rsid w:val="000432B2"/>
    <w:rsid w:val="00047D1B"/>
    <w:rsid w:val="00052650"/>
    <w:rsid w:val="000544CF"/>
    <w:rsid w:val="00054A84"/>
    <w:rsid w:val="00054F65"/>
    <w:rsid w:val="00056A91"/>
    <w:rsid w:val="00057FC1"/>
    <w:rsid w:val="000602DA"/>
    <w:rsid w:val="00060632"/>
    <w:rsid w:val="00061AA1"/>
    <w:rsid w:val="0006284C"/>
    <w:rsid w:val="00062E30"/>
    <w:rsid w:val="00064831"/>
    <w:rsid w:val="000649FC"/>
    <w:rsid w:val="0006621F"/>
    <w:rsid w:val="0006754B"/>
    <w:rsid w:val="00067ACA"/>
    <w:rsid w:val="00067B6F"/>
    <w:rsid w:val="00071E89"/>
    <w:rsid w:val="00072FEC"/>
    <w:rsid w:val="000749CB"/>
    <w:rsid w:val="000818E2"/>
    <w:rsid w:val="00082FF4"/>
    <w:rsid w:val="00090570"/>
    <w:rsid w:val="0009302D"/>
    <w:rsid w:val="00093512"/>
    <w:rsid w:val="00095C02"/>
    <w:rsid w:val="000A28D5"/>
    <w:rsid w:val="000A5F75"/>
    <w:rsid w:val="000A7EF6"/>
    <w:rsid w:val="000B1EAC"/>
    <w:rsid w:val="000B214D"/>
    <w:rsid w:val="000B3EDC"/>
    <w:rsid w:val="000C1880"/>
    <w:rsid w:val="000C2EFA"/>
    <w:rsid w:val="000C5EB1"/>
    <w:rsid w:val="000C6548"/>
    <w:rsid w:val="000C6E01"/>
    <w:rsid w:val="000C7D15"/>
    <w:rsid w:val="000D201E"/>
    <w:rsid w:val="000D27AD"/>
    <w:rsid w:val="000D321E"/>
    <w:rsid w:val="000D5829"/>
    <w:rsid w:val="000D60BD"/>
    <w:rsid w:val="000D6F90"/>
    <w:rsid w:val="000D72EC"/>
    <w:rsid w:val="000D7467"/>
    <w:rsid w:val="000E006A"/>
    <w:rsid w:val="000E0D6D"/>
    <w:rsid w:val="000E2B25"/>
    <w:rsid w:val="000E2FC2"/>
    <w:rsid w:val="000E3945"/>
    <w:rsid w:val="000E466B"/>
    <w:rsid w:val="000E5B57"/>
    <w:rsid w:val="000E6C26"/>
    <w:rsid w:val="000F1C4D"/>
    <w:rsid w:val="000F36A2"/>
    <w:rsid w:val="000F599A"/>
    <w:rsid w:val="000F61B9"/>
    <w:rsid w:val="000F7053"/>
    <w:rsid w:val="001000B0"/>
    <w:rsid w:val="00100D97"/>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2EAD"/>
    <w:rsid w:val="00144E2A"/>
    <w:rsid w:val="00145741"/>
    <w:rsid w:val="00146333"/>
    <w:rsid w:val="001463D9"/>
    <w:rsid w:val="00146860"/>
    <w:rsid w:val="00147A14"/>
    <w:rsid w:val="00151B0A"/>
    <w:rsid w:val="00151CCA"/>
    <w:rsid w:val="001532F7"/>
    <w:rsid w:val="001535D8"/>
    <w:rsid w:val="00155D6A"/>
    <w:rsid w:val="00156066"/>
    <w:rsid w:val="00157E25"/>
    <w:rsid w:val="001612D8"/>
    <w:rsid w:val="0016135A"/>
    <w:rsid w:val="001619F3"/>
    <w:rsid w:val="00161F55"/>
    <w:rsid w:val="00162704"/>
    <w:rsid w:val="00163742"/>
    <w:rsid w:val="0016419E"/>
    <w:rsid w:val="0016447B"/>
    <w:rsid w:val="00167C4B"/>
    <w:rsid w:val="00172416"/>
    <w:rsid w:val="001728CE"/>
    <w:rsid w:val="00173A8C"/>
    <w:rsid w:val="00173D2B"/>
    <w:rsid w:val="00174719"/>
    <w:rsid w:val="00176220"/>
    <w:rsid w:val="00180601"/>
    <w:rsid w:val="00181F8F"/>
    <w:rsid w:val="00182592"/>
    <w:rsid w:val="00183B96"/>
    <w:rsid w:val="00183FD8"/>
    <w:rsid w:val="00184D77"/>
    <w:rsid w:val="001853A5"/>
    <w:rsid w:val="0019124F"/>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2FC3"/>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5031"/>
    <w:rsid w:val="002750EE"/>
    <w:rsid w:val="00276329"/>
    <w:rsid w:val="00277BA0"/>
    <w:rsid w:val="002825D2"/>
    <w:rsid w:val="00286B34"/>
    <w:rsid w:val="00286C28"/>
    <w:rsid w:val="00293954"/>
    <w:rsid w:val="0029609E"/>
    <w:rsid w:val="002960AE"/>
    <w:rsid w:val="002B1632"/>
    <w:rsid w:val="002B1DF0"/>
    <w:rsid w:val="002B1EAC"/>
    <w:rsid w:val="002B5BF8"/>
    <w:rsid w:val="002B7B6E"/>
    <w:rsid w:val="002C18ED"/>
    <w:rsid w:val="002C1C17"/>
    <w:rsid w:val="002C2653"/>
    <w:rsid w:val="002C3B45"/>
    <w:rsid w:val="002C5DDC"/>
    <w:rsid w:val="002D14A4"/>
    <w:rsid w:val="002D30E9"/>
    <w:rsid w:val="002D39AB"/>
    <w:rsid w:val="002D427C"/>
    <w:rsid w:val="002D4953"/>
    <w:rsid w:val="002D740A"/>
    <w:rsid w:val="002E1B76"/>
    <w:rsid w:val="002E2048"/>
    <w:rsid w:val="002E277F"/>
    <w:rsid w:val="002E40E7"/>
    <w:rsid w:val="002E53EB"/>
    <w:rsid w:val="002E74EC"/>
    <w:rsid w:val="002E775B"/>
    <w:rsid w:val="002F045B"/>
    <w:rsid w:val="002F15D0"/>
    <w:rsid w:val="002F1C13"/>
    <w:rsid w:val="002F691E"/>
    <w:rsid w:val="003011A4"/>
    <w:rsid w:val="00304D7B"/>
    <w:rsid w:val="00305EA6"/>
    <w:rsid w:val="00307DA2"/>
    <w:rsid w:val="003125FD"/>
    <w:rsid w:val="00314253"/>
    <w:rsid w:val="00314B76"/>
    <w:rsid w:val="00315C3F"/>
    <w:rsid w:val="00316372"/>
    <w:rsid w:val="00316CFB"/>
    <w:rsid w:val="00322D37"/>
    <w:rsid w:val="0032330E"/>
    <w:rsid w:val="003242C7"/>
    <w:rsid w:val="00325EA0"/>
    <w:rsid w:val="00327B54"/>
    <w:rsid w:val="003356F4"/>
    <w:rsid w:val="00337773"/>
    <w:rsid w:val="003410BF"/>
    <w:rsid w:val="00341501"/>
    <w:rsid w:val="003426AB"/>
    <w:rsid w:val="0034294F"/>
    <w:rsid w:val="00342D02"/>
    <w:rsid w:val="00344139"/>
    <w:rsid w:val="00346009"/>
    <w:rsid w:val="00352E44"/>
    <w:rsid w:val="00353A65"/>
    <w:rsid w:val="003571D9"/>
    <w:rsid w:val="003607E0"/>
    <w:rsid w:val="00360F2E"/>
    <w:rsid w:val="00361BF8"/>
    <w:rsid w:val="0036313B"/>
    <w:rsid w:val="0037016B"/>
    <w:rsid w:val="00372B17"/>
    <w:rsid w:val="003731FF"/>
    <w:rsid w:val="003741FE"/>
    <w:rsid w:val="00375920"/>
    <w:rsid w:val="00380AB0"/>
    <w:rsid w:val="00381097"/>
    <w:rsid w:val="003814F0"/>
    <w:rsid w:val="003825CA"/>
    <w:rsid w:val="00383C07"/>
    <w:rsid w:val="00385E9A"/>
    <w:rsid w:val="00386360"/>
    <w:rsid w:val="00386EA3"/>
    <w:rsid w:val="00387BDD"/>
    <w:rsid w:val="00390E4E"/>
    <w:rsid w:val="003910F1"/>
    <w:rsid w:val="0039126A"/>
    <w:rsid w:val="00392258"/>
    <w:rsid w:val="00395BD5"/>
    <w:rsid w:val="003975DB"/>
    <w:rsid w:val="003A0BB6"/>
    <w:rsid w:val="003A157D"/>
    <w:rsid w:val="003A18F3"/>
    <w:rsid w:val="003A3273"/>
    <w:rsid w:val="003A3390"/>
    <w:rsid w:val="003A43BB"/>
    <w:rsid w:val="003A4CBE"/>
    <w:rsid w:val="003A57F6"/>
    <w:rsid w:val="003A69E9"/>
    <w:rsid w:val="003A735C"/>
    <w:rsid w:val="003B214A"/>
    <w:rsid w:val="003B408F"/>
    <w:rsid w:val="003B4C0A"/>
    <w:rsid w:val="003C3F04"/>
    <w:rsid w:val="003C4664"/>
    <w:rsid w:val="003C5788"/>
    <w:rsid w:val="003C61A5"/>
    <w:rsid w:val="003C7BE2"/>
    <w:rsid w:val="003D1E0A"/>
    <w:rsid w:val="003D36CD"/>
    <w:rsid w:val="003D3926"/>
    <w:rsid w:val="003D456D"/>
    <w:rsid w:val="003D4E1C"/>
    <w:rsid w:val="003D60DD"/>
    <w:rsid w:val="003D7EF8"/>
    <w:rsid w:val="003E1172"/>
    <w:rsid w:val="003E58B0"/>
    <w:rsid w:val="003F096C"/>
    <w:rsid w:val="003F16CD"/>
    <w:rsid w:val="003F3B43"/>
    <w:rsid w:val="003F4CFC"/>
    <w:rsid w:val="003F5FDD"/>
    <w:rsid w:val="003F7668"/>
    <w:rsid w:val="004039BF"/>
    <w:rsid w:val="00404BDE"/>
    <w:rsid w:val="004052F3"/>
    <w:rsid w:val="0040598E"/>
    <w:rsid w:val="00407ADF"/>
    <w:rsid w:val="00411B8A"/>
    <w:rsid w:val="00412385"/>
    <w:rsid w:val="00417D8B"/>
    <w:rsid w:val="00420B87"/>
    <w:rsid w:val="00422492"/>
    <w:rsid w:val="00424972"/>
    <w:rsid w:val="0042752E"/>
    <w:rsid w:val="00441293"/>
    <w:rsid w:val="004438F0"/>
    <w:rsid w:val="00443957"/>
    <w:rsid w:val="00443E27"/>
    <w:rsid w:val="00446E08"/>
    <w:rsid w:val="00447385"/>
    <w:rsid w:val="00450CDC"/>
    <w:rsid w:val="00450DCD"/>
    <w:rsid w:val="00451B2D"/>
    <w:rsid w:val="004559D9"/>
    <w:rsid w:val="004603A4"/>
    <w:rsid w:val="004614CC"/>
    <w:rsid w:val="0046533E"/>
    <w:rsid w:val="00467D9F"/>
    <w:rsid w:val="00470008"/>
    <w:rsid w:val="00471C45"/>
    <w:rsid w:val="00473138"/>
    <w:rsid w:val="004735B3"/>
    <w:rsid w:val="0047394A"/>
    <w:rsid w:val="00475906"/>
    <w:rsid w:val="00475A53"/>
    <w:rsid w:val="00476BD8"/>
    <w:rsid w:val="00476FF6"/>
    <w:rsid w:val="004817A8"/>
    <w:rsid w:val="00487714"/>
    <w:rsid w:val="00490C43"/>
    <w:rsid w:val="0049100B"/>
    <w:rsid w:val="00491059"/>
    <w:rsid w:val="0049242E"/>
    <w:rsid w:val="004959E0"/>
    <w:rsid w:val="00497A63"/>
    <w:rsid w:val="00497E23"/>
    <w:rsid w:val="004A21A8"/>
    <w:rsid w:val="004A34BD"/>
    <w:rsid w:val="004A4C09"/>
    <w:rsid w:val="004A5976"/>
    <w:rsid w:val="004B7927"/>
    <w:rsid w:val="004C0B93"/>
    <w:rsid w:val="004C0CC4"/>
    <w:rsid w:val="004C0FD9"/>
    <w:rsid w:val="004C18E5"/>
    <w:rsid w:val="004C1F00"/>
    <w:rsid w:val="004C263C"/>
    <w:rsid w:val="004C2E4C"/>
    <w:rsid w:val="004C5E57"/>
    <w:rsid w:val="004C5F96"/>
    <w:rsid w:val="004D0583"/>
    <w:rsid w:val="004D391A"/>
    <w:rsid w:val="004D3ECD"/>
    <w:rsid w:val="004D4765"/>
    <w:rsid w:val="004E05AA"/>
    <w:rsid w:val="004E2379"/>
    <w:rsid w:val="004E49D4"/>
    <w:rsid w:val="004E5F97"/>
    <w:rsid w:val="004F0575"/>
    <w:rsid w:val="004F0678"/>
    <w:rsid w:val="004F5470"/>
    <w:rsid w:val="004F54EB"/>
    <w:rsid w:val="004F5A9A"/>
    <w:rsid w:val="004F6ECA"/>
    <w:rsid w:val="005002DE"/>
    <w:rsid w:val="005023FC"/>
    <w:rsid w:val="00502EC9"/>
    <w:rsid w:val="005033E4"/>
    <w:rsid w:val="005057FB"/>
    <w:rsid w:val="00511D50"/>
    <w:rsid w:val="00514BCD"/>
    <w:rsid w:val="00516906"/>
    <w:rsid w:val="00524800"/>
    <w:rsid w:val="00524930"/>
    <w:rsid w:val="005272D8"/>
    <w:rsid w:val="00535012"/>
    <w:rsid w:val="005378A8"/>
    <w:rsid w:val="00542A7D"/>
    <w:rsid w:val="00542D43"/>
    <w:rsid w:val="00543AD1"/>
    <w:rsid w:val="00543C28"/>
    <w:rsid w:val="0055084A"/>
    <w:rsid w:val="00551A90"/>
    <w:rsid w:val="00551B6C"/>
    <w:rsid w:val="00552D5B"/>
    <w:rsid w:val="0055308D"/>
    <w:rsid w:val="00560DD8"/>
    <w:rsid w:val="00561622"/>
    <w:rsid w:val="00562E7B"/>
    <w:rsid w:val="00564C17"/>
    <w:rsid w:val="005653A6"/>
    <w:rsid w:val="00570F9F"/>
    <w:rsid w:val="00572FED"/>
    <w:rsid w:val="00575826"/>
    <w:rsid w:val="0057651E"/>
    <w:rsid w:val="00580259"/>
    <w:rsid w:val="005843C8"/>
    <w:rsid w:val="00585550"/>
    <w:rsid w:val="005867E7"/>
    <w:rsid w:val="005876E8"/>
    <w:rsid w:val="00591806"/>
    <w:rsid w:val="0059227F"/>
    <w:rsid w:val="0059433B"/>
    <w:rsid w:val="00595164"/>
    <w:rsid w:val="005966CB"/>
    <w:rsid w:val="0059672A"/>
    <w:rsid w:val="00597131"/>
    <w:rsid w:val="005A2EE4"/>
    <w:rsid w:val="005B0504"/>
    <w:rsid w:val="005B3265"/>
    <w:rsid w:val="005B442F"/>
    <w:rsid w:val="005B5E37"/>
    <w:rsid w:val="005B7DA7"/>
    <w:rsid w:val="005B7F78"/>
    <w:rsid w:val="005C0F6B"/>
    <w:rsid w:val="005C0F7D"/>
    <w:rsid w:val="005C528E"/>
    <w:rsid w:val="005C590B"/>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2422"/>
    <w:rsid w:val="00603192"/>
    <w:rsid w:val="0060347E"/>
    <w:rsid w:val="0060517B"/>
    <w:rsid w:val="00605355"/>
    <w:rsid w:val="006057C8"/>
    <w:rsid w:val="00607A07"/>
    <w:rsid w:val="00610208"/>
    <w:rsid w:val="00620497"/>
    <w:rsid w:val="006211E2"/>
    <w:rsid w:val="006218DC"/>
    <w:rsid w:val="00621E21"/>
    <w:rsid w:val="0062242A"/>
    <w:rsid w:val="006229D7"/>
    <w:rsid w:val="0062330A"/>
    <w:rsid w:val="0062434E"/>
    <w:rsid w:val="00625FA2"/>
    <w:rsid w:val="00626D52"/>
    <w:rsid w:val="00627A3C"/>
    <w:rsid w:val="0063031C"/>
    <w:rsid w:val="00631E65"/>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2D0A"/>
    <w:rsid w:val="00672D8A"/>
    <w:rsid w:val="006737E4"/>
    <w:rsid w:val="006744C9"/>
    <w:rsid w:val="00675AA7"/>
    <w:rsid w:val="00682307"/>
    <w:rsid w:val="00682E7A"/>
    <w:rsid w:val="006841B9"/>
    <w:rsid w:val="006876FC"/>
    <w:rsid w:val="006918E0"/>
    <w:rsid w:val="006939F8"/>
    <w:rsid w:val="00695128"/>
    <w:rsid w:val="00695919"/>
    <w:rsid w:val="00695DF8"/>
    <w:rsid w:val="00697152"/>
    <w:rsid w:val="00697437"/>
    <w:rsid w:val="006A032E"/>
    <w:rsid w:val="006A0B61"/>
    <w:rsid w:val="006A1307"/>
    <w:rsid w:val="006A30B6"/>
    <w:rsid w:val="006A6A45"/>
    <w:rsid w:val="006A748A"/>
    <w:rsid w:val="006B2FB0"/>
    <w:rsid w:val="006B368F"/>
    <w:rsid w:val="006B4300"/>
    <w:rsid w:val="006C0681"/>
    <w:rsid w:val="006C2F28"/>
    <w:rsid w:val="006C30D4"/>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3041"/>
    <w:rsid w:val="006E6763"/>
    <w:rsid w:val="006F0F61"/>
    <w:rsid w:val="006F1515"/>
    <w:rsid w:val="006F1F6D"/>
    <w:rsid w:val="006F2CEE"/>
    <w:rsid w:val="006F3DAD"/>
    <w:rsid w:val="006F7666"/>
    <w:rsid w:val="006F7B2B"/>
    <w:rsid w:val="007020E3"/>
    <w:rsid w:val="00703093"/>
    <w:rsid w:val="00703F1A"/>
    <w:rsid w:val="0071178F"/>
    <w:rsid w:val="00712802"/>
    <w:rsid w:val="00712AE3"/>
    <w:rsid w:val="00712BD9"/>
    <w:rsid w:val="00713331"/>
    <w:rsid w:val="00717C64"/>
    <w:rsid w:val="007210FD"/>
    <w:rsid w:val="00721796"/>
    <w:rsid w:val="007240AC"/>
    <w:rsid w:val="0072482F"/>
    <w:rsid w:val="00725B58"/>
    <w:rsid w:val="00725DAB"/>
    <w:rsid w:val="00730396"/>
    <w:rsid w:val="0073096C"/>
    <w:rsid w:val="00731C86"/>
    <w:rsid w:val="00731FD6"/>
    <w:rsid w:val="00733260"/>
    <w:rsid w:val="00733CAF"/>
    <w:rsid w:val="00733E55"/>
    <w:rsid w:val="007356CB"/>
    <w:rsid w:val="00735BEF"/>
    <w:rsid w:val="00737567"/>
    <w:rsid w:val="0074092D"/>
    <w:rsid w:val="00740BE3"/>
    <w:rsid w:val="00740F10"/>
    <w:rsid w:val="007418F4"/>
    <w:rsid w:val="00741BA5"/>
    <w:rsid w:val="00741E0A"/>
    <w:rsid w:val="00741F01"/>
    <w:rsid w:val="007438FA"/>
    <w:rsid w:val="00750558"/>
    <w:rsid w:val="007600F1"/>
    <w:rsid w:val="00761451"/>
    <w:rsid w:val="007617EE"/>
    <w:rsid w:val="00762AA1"/>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7B18"/>
    <w:rsid w:val="007A2148"/>
    <w:rsid w:val="007A260E"/>
    <w:rsid w:val="007A40E1"/>
    <w:rsid w:val="007A6DAB"/>
    <w:rsid w:val="007B0737"/>
    <w:rsid w:val="007B1D9A"/>
    <w:rsid w:val="007C1CFC"/>
    <w:rsid w:val="007C2B1D"/>
    <w:rsid w:val="007C4CE6"/>
    <w:rsid w:val="007D0AE5"/>
    <w:rsid w:val="007D1361"/>
    <w:rsid w:val="007D64DB"/>
    <w:rsid w:val="007D6764"/>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0EC3"/>
    <w:rsid w:val="0082175C"/>
    <w:rsid w:val="008220F1"/>
    <w:rsid w:val="00823650"/>
    <w:rsid w:val="008236D1"/>
    <w:rsid w:val="00827CF9"/>
    <w:rsid w:val="00830F40"/>
    <w:rsid w:val="0083221F"/>
    <w:rsid w:val="008335A7"/>
    <w:rsid w:val="008339ED"/>
    <w:rsid w:val="00846D0E"/>
    <w:rsid w:val="00846F12"/>
    <w:rsid w:val="00846FB2"/>
    <w:rsid w:val="00851711"/>
    <w:rsid w:val="00851E29"/>
    <w:rsid w:val="008576AC"/>
    <w:rsid w:val="008607C4"/>
    <w:rsid w:val="00863321"/>
    <w:rsid w:val="00870260"/>
    <w:rsid w:val="008704E8"/>
    <w:rsid w:val="00870758"/>
    <w:rsid w:val="00875F58"/>
    <w:rsid w:val="00876C32"/>
    <w:rsid w:val="0087798B"/>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C4FF1"/>
    <w:rsid w:val="008D14A4"/>
    <w:rsid w:val="008D2143"/>
    <w:rsid w:val="008D3154"/>
    <w:rsid w:val="008D3516"/>
    <w:rsid w:val="008D4454"/>
    <w:rsid w:val="008D50D1"/>
    <w:rsid w:val="008D514E"/>
    <w:rsid w:val="008D5B72"/>
    <w:rsid w:val="008D5FE3"/>
    <w:rsid w:val="008D6952"/>
    <w:rsid w:val="008E4C58"/>
    <w:rsid w:val="008E7AD0"/>
    <w:rsid w:val="008F0CC3"/>
    <w:rsid w:val="008F482F"/>
    <w:rsid w:val="008F4E13"/>
    <w:rsid w:val="008F53A2"/>
    <w:rsid w:val="008F6135"/>
    <w:rsid w:val="008F7B76"/>
    <w:rsid w:val="00902852"/>
    <w:rsid w:val="00902B60"/>
    <w:rsid w:val="00905172"/>
    <w:rsid w:val="00907123"/>
    <w:rsid w:val="00907921"/>
    <w:rsid w:val="00907D56"/>
    <w:rsid w:val="009121C9"/>
    <w:rsid w:val="0091436D"/>
    <w:rsid w:val="0091591F"/>
    <w:rsid w:val="009215DB"/>
    <w:rsid w:val="0092262B"/>
    <w:rsid w:val="009233B2"/>
    <w:rsid w:val="00925A12"/>
    <w:rsid w:val="00930C28"/>
    <w:rsid w:val="009321B0"/>
    <w:rsid w:val="00934D60"/>
    <w:rsid w:val="0093728A"/>
    <w:rsid w:val="00937632"/>
    <w:rsid w:val="00937C41"/>
    <w:rsid w:val="009417ED"/>
    <w:rsid w:val="009434D7"/>
    <w:rsid w:val="009458FB"/>
    <w:rsid w:val="009519E8"/>
    <w:rsid w:val="0095268E"/>
    <w:rsid w:val="009530A5"/>
    <w:rsid w:val="00953376"/>
    <w:rsid w:val="0095385B"/>
    <w:rsid w:val="00953C09"/>
    <w:rsid w:val="0095428F"/>
    <w:rsid w:val="00955462"/>
    <w:rsid w:val="00956FFC"/>
    <w:rsid w:val="0095730D"/>
    <w:rsid w:val="00965180"/>
    <w:rsid w:val="00967DD1"/>
    <w:rsid w:val="009718CC"/>
    <w:rsid w:val="00971966"/>
    <w:rsid w:val="00974931"/>
    <w:rsid w:val="00992164"/>
    <w:rsid w:val="00992228"/>
    <w:rsid w:val="009931BE"/>
    <w:rsid w:val="00994D6C"/>
    <w:rsid w:val="00995804"/>
    <w:rsid w:val="00995EC3"/>
    <w:rsid w:val="009963B0"/>
    <w:rsid w:val="00997F97"/>
    <w:rsid w:val="009A042F"/>
    <w:rsid w:val="009A1875"/>
    <w:rsid w:val="009A51CC"/>
    <w:rsid w:val="009A5855"/>
    <w:rsid w:val="009B0050"/>
    <w:rsid w:val="009B2899"/>
    <w:rsid w:val="009B3032"/>
    <w:rsid w:val="009B4732"/>
    <w:rsid w:val="009B5CEA"/>
    <w:rsid w:val="009C03FD"/>
    <w:rsid w:val="009C0C9B"/>
    <w:rsid w:val="009C1340"/>
    <w:rsid w:val="009C1550"/>
    <w:rsid w:val="009C425B"/>
    <w:rsid w:val="009D1BDA"/>
    <w:rsid w:val="009D3F45"/>
    <w:rsid w:val="009D62E8"/>
    <w:rsid w:val="009D736B"/>
    <w:rsid w:val="009E19EE"/>
    <w:rsid w:val="009E4512"/>
    <w:rsid w:val="009E454E"/>
    <w:rsid w:val="009E4A0B"/>
    <w:rsid w:val="009E6EA9"/>
    <w:rsid w:val="009F1091"/>
    <w:rsid w:val="009F5385"/>
    <w:rsid w:val="009F5A9A"/>
    <w:rsid w:val="009F6AED"/>
    <w:rsid w:val="009F7555"/>
    <w:rsid w:val="00A01F37"/>
    <w:rsid w:val="00A037BA"/>
    <w:rsid w:val="00A04AEF"/>
    <w:rsid w:val="00A04CE8"/>
    <w:rsid w:val="00A0518F"/>
    <w:rsid w:val="00A05F2F"/>
    <w:rsid w:val="00A07F09"/>
    <w:rsid w:val="00A112C8"/>
    <w:rsid w:val="00A142C5"/>
    <w:rsid w:val="00A148AB"/>
    <w:rsid w:val="00A14F45"/>
    <w:rsid w:val="00A20274"/>
    <w:rsid w:val="00A21E0D"/>
    <w:rsid w:val="00A22747"/>
    <w:rsid w:val="00A22AE5"/>
    <w:rsid w:val="00A32CF2"/>
    <w:rsid w:val="00A32F8F"/>
    <w:rsid w:val="00A33442"/>
    <w:rsid w:val="00A34613"/>
    <w:rsid w:val="00A34A96"/>
    <w:rsid w:val="00A352F7"/>
    <w:rsid w:val="00A36527"/>
    <w:rsid w:val="00A36B78"/>
    <w:rsid w:val="00A37CC7"/>
    <w:rsid w:val="00A42ACD"/>
    <w:rsid w:val="00A4508D"/>
    <w:rsid w:val="00A462F9"/>
    <w:rsid w:val="00A47DB4"/>
    <w:rsid w:val="00A51FCC"/>
    <w:rsid w:val="00A539FE"/>
    <w:rsid w:val="00A54C37"/>
    <w:rsid w:val="00A56718"/>
    <w:rsid w:val="00A57277"/>
    <w:rsid w:val="00A610D6"/>
    <w:rsid w:val="00A64A8F"/>
    <w:rsid w:val="00A65793"/>
    <w:rsid w:val="00A701CB"/>
    <w:rsid w:val="00A7396B"/>
    <w:rsid w:val="00A75C17"/>
    <w:rsid w:val="00A76CDE"/>
    <w:rsid w:val="00A7787C"/>
    <w:rsid w:val="00A8106A"/>
    <w:rsid w:val="00A815E6"/>
    <w:rsid w:val="00A82FE8"/>
    <w:rsid w:val="00A84A35"/>
    <w:rsid w:val="00A84E38"/>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C3C13"/>
    <w:rsid w:val="00AC4D7B"/>
    <w:rsid w:val="00AC5D86"/>
    <w:rsid w:val="00AC62F6"/>
    <w:rsid w:val="00AC67BE"/>
    <w:rsid w:val="00AC6D26"/>
    <w:rsid w:val="00AC7A40"/>
    <w:rsid w:val="00AD1534"/>
    <w:rsid w:val="00AD28DA"/>
    <w:rsid w:val="00AD2EFE"/>
    <w:rsid w:val="00AD458F"/>
    <w:rsid w:val="00AD464E"/>
    <w:rsid w:val="00AD4AB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1FE"/>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3719"/>
    <w:rsid w:val="00B4644E"/>
    <w:rsid w:val="00B5181C"/>
    <w:rsid w:val="00B52D30"/>
    <w:rsid w:val="00B57D76"/>
    <w:rsid w:val="00B60759"/>
    <w:rsid w:val="00B60B2C"/>
    <w:rsid w:val="00B637F8"/>
    <w:rsid w:val="00B63805"/>
    <w:rsid w:val="00B63E86"/>
    <w:rsid w:val="00B6523B"/>
    <w:rsid w:val="00B66610"/>
    <w:rsid w:val="00B70B98"/>
    <w:rsid w:val="00B81C4C"/>
    <w:rsid w:val="00B836D7"/>
    <w:rsid w:val="00B862A3"/>
    <w:rsid w:val="00B86AC9"/>
    <w:rsid w:val="00B86BB0"/>
    <w:rsid w:val="00B876C9"/>
    <w:rsid w:val="00B90B47"/>
    <w:rsid w:val="00B927B9"/>
    <w:rsid w:val="00B93D57"/>
    <w:rsid w:val="00B94B23"/>
    <w:rsid w:val="00B94F27"/>
    <w:rsid w:val="00B95CA3"/>
    <w:rsid w:val="00B9662E"/>
    <w:rsid w:val="00BA4B4C"/>
    <w:rsid w:val="00BB0347"/>
    <w:rsid w:val="00BB03B4"/>
    <w:rsid w:val="00BB1C48"/>
    <w:rsid w:val="00BB56C9"/>
    <w:rsid w:val="00BB63BA"/>
    <w:rsid w:val="00BB6DB1"/>
    <w:rsid w:val="00BC0292"/>
    <w:rsid w:val="00BC0793"/>
    <w:rsid w:val="00BC0F8A"/>
    <w:rsid w:val="00BC14E1"/>
    <w:rsid w:val="00BC293E"/>
    <w:rsid w:val="00BC3644"/>
    <w:rsid w:val="00BC398A"/>
    <w:rsid w:val="00BC50A1"/>
    <w:rsid w:val="00BC5533"/>
    <w:rsid w:val="00BC617F"/>
    <w:rsid w:val="00BC6904"/>
    <w:rsid w:val="00BC7C3E"/>
    <w:rsid w:val="00BD0DC9"/>
    <w:rsid w:val="00BD1AA4"/>
    <w:rsid w:val="00BE1861"/>
    <w:rsid w:val="00BE417B"/>
    <w:rsid w:val="00BE47E2"/>
    <w:rsid w:val="00BE67F4"/>
    <w:rsid w:val="00BE695A"/>
    <w:rsid w:val="00BE6B7A"/>
    <w:rsid w:val="00BF0197"/>
    <w:rsid w:val="00BF16D0"/>
    <w:rsid w:val="00BF2DA2"/>
    <w:rsid w:val="00BF378B"/>
    <w:rsid w:val="00BF3AAA"/>
    <w:rsid w:val="00BF49A1"/>
    <w:rsid w:val="00C001C3"/>
    <w:rsid w:val="00C01E23"/>
    <w:rsid w:val="00C02719"/>
    <w:rsid w:val="00C03EED"/>
    <w:rsid w:val="00C04458"/>
    <w:rsid w:val="00C050C8"/>
    <w:rsid w:val="00C10178"/>
    <w:rsid w:val="00C1126D"/>
    <w:rsid w:val="00C117BA"/>
    <w:rsid w:val="00C11E39"/>
    <w:rsid w:val="00C13AB4"/>
    <w:rsid w:val="00C17D02"/>
    <w:rsid w:val="00C30E81"/>
    <w:rsid w:val="00C31F64"/>
    <w:rsid w:val="00C3387B"/>
    <w:rsid w:val="00C34AB7"/>
    <w:rsid w:val="00C372E8"/>
    <w:rsid w:val="00C409FD"/>
    <w:rsid w:val="00C40BC4"/>
    <w:rsid w:val="00C41683"/>
    <w:rsid w:val="00C436F7"/>
    <w:rsid w:val="00C43C3B"/>
    <w:rsid w:val="00C43E51"/>
    <w:rsid w:val="00C47472"/>
    <w:rsid w:val="00C51B11"/>
    <w:rsid w:val="00C5398B"/>
    <w:rsid w:val="00C540AA"/>
    <w:rsid w:val="00C54D4A"/>
    <w:rsid w:val="00C55D78"/>
    <w:rsid w:val="00C63714"/>
    <w:rsid w:val="00C637FF"/>
    <w:rsid w:val="00C66185"/>
    <w:rsid w:val="00C66F66"/>
    <w:rsid w:val="00C711A5"/>
    <w:rsid w:val="00C7254B"/>
    <w:rsid w:val="00C72E46"/>
    <w:rsid w:val="00C73FAD"/>
    <w:rsid w:val="00C74B7A"/>
    <w:rsid w:val="00C848C5"/>
    <w:rsid w:val="00C85BDB"/>
    <w:rsid w:val="00C85C35"/>
    <w:rsid w:val="00C92365"/>
    <w:rsid w:val="00C92FAC"/>
    <w:rsid w:val="00C94CA1"/>
    <w:rsid w:val="00C95782"/>
    <w:rsid w:val="00C95C63"/>
    <w:rsid w:val="00C9636D"/>
    <w:rsid w:val="00C966F2"/>
    <w:rsid w:val="00C96B07"/>
    <w:rsid w:val="00CA1D2E"/>
    <w:rsid w:val="00CA3E0A"/>
    <w:rsid w:val="00CA56B4"/>
    <w:rsid w:val="00CA64A3"/>
    <w:rsid w:val="00CA6570"/>
    <w:rsid w:val="00CA7013"/>
    <w:rsid w:val="00CA7A6A"/>
    <w:rsid w:val="00CA7DD0"/>
    <w:rsid w:val="00CB08C3"/>
    <w:rsid w:val="00CB166E"/>
    <w:rsid w:val="00CB1898"/>
    <w:rsid w:val="00CB29C7"/>
    <w:rsid w:val="00CB7959"/>
    <w:rsid w:val="00CB7B6D"/>
    <w:rsid w:val="00CC3B04"/>
    <w:rsid w:val="00CC3DD8"/>
    <w:rsid w:val="00CC6219"/>
    <w:rsid w:val="00CC6AB9"/>
    <w:rsid w:val="00CC6EA8"/>
    <w:rsid w:val="00CD0009"/>
    <w:rsid w:val="00CD0AB6"/>
    <w:rsid w:val="00CD368E"/>
    <w:rsid w:val="00CD43B6"/>
    <w:rsid w:val="00CD5DEA"/>
    <w:rsid w:val="00CD6A44"/>
    <w:rsid w:val="00CE0394"/>
    <w:rsid w:val="00CE07EC"/>
    <w:rsid w:val="00CE2B10"/>
    <w:rsid w:val="00CE391D"/>
    <w:rsid w:val="00CE3D5F"/>
    <w:rsid w:val="00CE6369"/>
    <w:rsid w:val="00CE642A"/>
    <w:rsid w:val="00CE7156"/>
    <w:rsid w:val="00CE7E29"/>
    <w:rsid w:val="00CF03D9"/>
    <w:rsid w:val="00CF1A33"/>
    <w:rsid w:val="00CF1E8F"/>
    <w:rsid w:val="00CF37A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17FAF"/>
    <w:rsid w:val="00D20EA2"/>
    <w:rsid w:val="00D272E0"/>
    <w:rsid w:val="00D2754C"/>
    <w:rsid w:val="00D330CC"/>
    <w:rsid w:val="00D33772"/>
    <w:rsid w:val="00D41CD2"/>
    <w:rsid w:val="00D41DC3"/>
    <w:rsid w:val="00D44F27"/>
    <w:rsid w:val="00D46275"/>
    <w:rsid w:val="00D46C72"/>
    <w:rsid w:val="00D52234"/>
    <w:rsid w:val="00D537FC"/>
    <w:rsid w:val="00D600D2"/>
    <w:rsid w:val="00D61185"/>
    <w:rsid w:val="00D636C5"/>
    <w:rsid w:val="00D63A50"/>
    <w:rsid w:val="00D64A9E"/>
    <w:rsid w:val="00D66C60"/>
    <w:rsid w:val="00D7356E"/>
    <w:rsid w:val="00D759D7"/>
    <w:rsid w:val="00D763A8"/>
    <w:rsid w:val="00D805EA"/>
    <w:rsid w:val="00D8531E"/>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B01"/>
    <w:rsid w:val="00DC0DCD"/>
    <w:rsid w:val="00DC1537"/>
    <w:rsid w:val="00DD0920"/>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40BF"/>
    <w:rsid w:val="00E262B9"/>
    <w:rsid w:val="00E26463"/>
    <w:rsid w:val="00E3402E"/>
    <w:rsid w:val="00E36597"/>
    <w:rsid w:val="00E37419"/>
    <w:rsid w:val="00E40BE0"/>
    <w:rsid w:val="00E42446"/>
    <w:rsid w:val="00E42A54"/>
    <w:rsid w:val="00E42D2B"/>
    <w:rsid w:val="00E44A73"/>
    <w:rsid w:val="00E44D49"/>
    <w:rsid w:val="00E461E0"/>
    <w:rsid w:val="00E4771D"/>
    <w:rsid w:val="00E47A22"/>
    <w:rsid w:val="00E50F80"/>
    <w:rsid w:val="00E523D1"/>
    <w:rsid w:val="00E5257D"/>
    <w:rsid w:val="00E56007"/>
    <w:rsid w:val="00E56265"/>
    <w:rsid w:val="00E60832"/>
    <w:rsid w:val="00E609A0"/>
    <w:rsid w:val="00E60DDD"/>
    <w:rsid w:val="00E61053"/>
    <w:rsid w:val="00E664A6"/>
    <w:rsid w:val="00E67799"/>
    <w:rsid w:val="00E711CC"/>
    <w:rsid w:val="00E73C2D"/>
    <w:rsid w:val="00E760EA"/>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FFB"/>
    <w:rsid w:val="00EA79D9"/>
    <w:rsid w:val="00EB100F"/>
    <w:rsid w:val="00EB1FAB"/>
    <w:rsid w:val="00EB2AB1"/>
    <w:rsid w:val="00EB3A35"/>
    <w:rsid w:val="00EB401E"/>
    <w:rsid w:val="00EB5892"/>
    <w:rsid w:val="00EB6530"/>
    <w:rsid w:val="00EB7187"/>
    <w:rsid w:val="00EC0760"/>
    <w:rsid w:val="00EC2DAF"/>
    <w:rsid w:val="00EC36D3"/>
    <w:rsid w:val="00EC3FCE"/>
    <w:rsid w:val="00EC61EB"/>
    <w:rsid w:val="00ED0C5F"/>
    <w:rsid w:val="00ED55A9"/>
    <w:rsid w:val="00ED55E1"/>
    <w:rsid w:val="00ED67D4"/>
    <w:rsid w:val="00ED6D17"/>
    <w:rsid w:val="00ED75DD"/>
    <w:rsid w:val="00EE60A3"/>
    <w:rsid w:val="00EF0C67"/>
    <w:rsid w:val="00EF3C5C"/>
    <w:rsid w:val="00EF49B9"/>
    <w:rsid w:val="00EF5595"/>
    <w:rsid w:val="00EF5DB7"/>
    <w:rsid w:val="00F0170A"/>
    <w:rsid w:val="00F02D02"/>
    <w:rsid w:val="00F049C9"/>
    <w:rsid w:val="00F15731"/>
    <w:rsid w:val="00F16BDB"/>
    <w:rsid w:val="00F216BC"/>
    <w:rsid w:val="00F233EE"/>
    <w:rsid w:val="00F24B2E"/>
    <w:rsid w:val="00F24F9A"/>
    <w:rsid w:val="00F26810"/>
    <w:rsid w:val="00F269F1"/>
    <w:rsid w:val="00F27EC6"/>
    <w:rsid w:val="00F3187D"/>
    <w:rsid w:val="00F31886"/>
    <w:rsid w:val="00F31C31"/>
    <w:rsid w:val="00F32258"/>
    <w:rsid w:val="00F323E1"/>
    <w:rsid w:val="00F34BCD"/>
    <w:rsid w:val="00F358A0"/>
    <w:rsid w:val="00F35BDB"/>
    <w:rsid w:val="00F373EC"/>
    <w:rsid w:val="00F3771F"/>
    <w:rsid w:val="00F4027F"/>
    <w:rsid w:val="00F403E5"/>
    <w:rsid w:val="00F4215C"/>
    <w:rsid w:val="00F435B7"/>
    <w:rsid w:val="00F436F0"/>
    <w:rsid w:val="00F46688"/>
    <w:rsid w:val="00F474F9"/>
    <w:rsid w:val="00F50B48"/>
    <w:rsid w:val="00F50C8D"/>
    <w:rsid w:val="00F51522"/>
    <w:rsid w:val="00F52284"/>
    <w:rsid w:val="00F53E2A"/>
    <w:rsid w:val="00F54B21"/>
    <w:rsid w:val="00F64686"/>
    <w:rsid w:val="00F66FE5"/>
    <w:rsid w:val="00F716D6"/>
    <w:rsid w:val="00F7490C"/>
    <w:rsid w:val="00F74AE5"/>
    <w:rsid w:val="00F772B8"/>
    <w:rsid w:val="00F77D52"/>
    <w:rsid w:val="00F80195"/>
    <w:rsid w:val="00F8024C"/>
    <w:rsid w:val="00F8072A"/>
    <w:rsid w:val="00F83CED"/>
    <w:rsid w:val="00F857CF"/>
    <w:rsid w:val="00F86C5A"/>
    <w:rsid w:val="00F9059C"/>
    <w:rsid w:val="00F90C76"/>
    <w:rsid w:val="00F92A01"/>
    <w:rsid w:val="00F94EAA"/>
    <w:rsid w:val="00F95125"/>
    <w:rsid w:val="00F953B3"/>
    <w:rsid w:val="00F95822"/>
    <w:rsid w:val="00F967CF"/>
    <w:rsid w:val="00FA4061"/>
    <w:rsid w:val="00FA6629"/>
    <w:rsid w:val="00FA7C38"/>
    <w:rsid w:val="00FB0498"/>
    <w:rsid w:val="00FB2A86"/>
    <w:rsid w:val="00FB5AEA"/>
    <w:rsid w:val="00FB7AA1"/>
    <w:rsid w:val="00FB7EDA"/>
    <w:rsid w:val="00FD1F11"/>
    <w:rsid w:val="00FD52B0"/>
    <w:rsid w:val="00FD5C2B"/>
    <w:rsid w:val="00FD60D9"/>
    <w:rsid w:val="00FD7958"/>
    <w:rsid w:val="00FE156D"/>
    <w:rsid w:val="00FE2F78"/>
    <w:rsid w:val="00FE3783"/>
    <w:rsid w:val="00FE6E02"/>
    <w:rsid w:val="00FF281F"/>
    <w:rsid w:val="00FF3E4E"/>
    <w:rsid w:val="00FF4770"/>
    <w:rsid w:val="00FF4D5D"/>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213228374">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4EC1A-E109-4927-9E59-E27378A0A538}"/>
</file>

<file path=customXml/itemProps2.xml><?xml version="1.0" encoding="utf-8"?>
<ds:datastoreItem xmlns:ds="http://schemas.openxmlformats.org/officeDocument/2006/customXml" ds:itemID="{334DC4B0-D673-4C6E-806C-5D9629378403}"/>
</file>

<file path=customXml/itemProps3.xml><?xml version="1.0" encoding="utf-8"?>
<ds:datastoreItem xmlns:ds="http://schemas.openxmlformats.org/officeDocument/2006/customXml" ds:itemID="{529660FE-F1DA-46B0-A1E6-57A96DBF8B2F}"/>
</file>

<file path=customXml/itemProps4.xml><?xml version="1.0" encoding="utf-8"?>
<ds:datastoreItem xmlns:ds="http://schemas.openxmlformats.org/officeDocument/2006/customXml" ds:itemID="{6542E2A5-CFF4-4C12-BCF9-2D4E3CD5274F}"/>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3315</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4270</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Maytinh2</cp:lastModifiedBy>
  <cp:revision>3</cp:revision>
  <cp:lastPrinted>2024-12-25T07:47:00Z</cp:lastPrinted>
  <dcterms:created xsi:type="dcterms:W3CDTF">2025-03-07T14:30:00Z</dcterms:created>
  <dcterms:modified xsi:type="dcterms:W3CDTF">2025-03-07T14:38:00Z</dcterms:modified>
</cp:coreProperties>
</file>