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409AB" w:rsidRPr="004409AB" w14:paraId="721DFCCF" w14:textId="77777777" w:rsidTr="004409AB">
        <w:trPr>
          <w:trHeight w:val="1021"/>
        </w:trPr>
        <w:tc>
          <w:tcPr>
            <w:tcW w:w="1544" w:type="pct"/>
            <w:hideMark/>
          </w:tcPr>
          <w:p w14:paraId="7AC069D4" w14:textId="77777777" w:rsidR="004409AB" w:rsidRPr="004409AB" w:rsidRDefault="004409AB" w:rsidP="004409AB">
            <w:pPr>
              <w:autoSpaceDN w:val="0"/>
              <w:jc w:val="center"/>
              <w:rPr>
                <w:rFonts w:eastAsia="PMingLiU"/>
                <w:b/>
                <w:sz w:val="26"/>
                <w:szCs w:val="26"/>
                <w:lang w:val="vi-VN" w:eastAsia="vi-VN"/>
              </w:rPr>
            </w:pPr>
            <w:r w:rsidRPr="004409AB">
              <w:rPr>
                <w:rFonts w:eastAsia="PMingLiU"/>
                <w:b/>
                <w:sz w:val="26"/>
                <w:szCs w:val="26"/>
                <w:lang w:val="vi-VN" w:eastAsia="vi-VN"/>
              </w:rPr>
              <w:t>ỦY BAN NHÂN DÂN</w:t>
            </w:r>
          </w:p>
          <w:p w14:paraId="42A8DE87" w14:textId="77777777" w:rsidR="004409AB" w:rsidRPr="004409AB" w:rsidRDefault="004409AB" w:rsidP="004409AB">
            <w:pPr>
              <w:autoSpaceDN w:val="0"/>
              <w:jc w:val="center"/>
              <w:rPr>
                <w:rFonts w:eastAsia="PMingLiU"/>
                <w:b/>
                <w:sz w:val="26"/>
                <w:szCs w:val="26"/>
                <w:lang w:val="vi-VN" w:eastAsia="vi-VN"/>
              </w:rPr>
            </w:pPr>
            <w:r w:rsidRPr="004409AB">
              <w:rPr>
                <w:noProof/>
                <w14:ligatures w14:val="standardContextual"/>
              </w:rPr>
              <mc:AlternateContent>
                <mc:Choice Requires="wps">
                  <w:drawing>
                    <wp:anchor distT="4294967218" distB="4294967218" distL="114300" distR="114300" simplePos="0" relativeHeight="251665408" behindDoc="0" locked="0" layoutInCell="1" allowOverlap="1" wp14:anchorId="6AA8B3BA" wp14:editId="6503CFB1">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sidRPr="004409AB">
              <w:rPr>
                <w:rFonts w:eastAsia="PMingLiU"/>
                <w:b/>
                <w:sz w:val="26"/>
                <w:szCs w:val="26"/>
                <w:lang w:val="vi-VN" w:eastAsia="vi-VN"/>
              </w:rPr>
              <w:t>TỈNH ĐỒNG NAI</w:t>
            </w:r>
          </w:p>
        </w:tc>
        <w:tc>
          <w:tcPr>
            <w:tcW w:w="515" w:type="pct"/>
          </w:tcPr>
          <w:p w14:paraId="636DCC43" w14:textId="77777777" w:rsidR="004409AB" w:rsidRPr="004409AB" w:rsidRDefault="004409AB" w:rsidP="004409AB">
            <w:pPr>
              <w:autoSpaceDN w:val="0"/>
              <w:jc w:val="center"/>
              <w:rPr>
                <w:rFonts w:eastAsia="PMingLiU"/>
                <w:b/>
                <w:sz w:val="26"/>
                <w:szCs w:val="26"/>
                <w:lang w:val="vi-VN" w:eastAsia="vi-VN"/>
              </w:rPr>
            </w:pPr>
          </w:p>
          <w:p w14:paraId="064223C6" w14:textId="77777777" w:rsidR="004409AB" w:rsidRPr="004409AB" w:rsidRDefault="004409AB" w:rsidP="004409AB">
            <w:pPr>
              <w:autoSpaceDN w:val="0"/>
              <w:jc w:val="center"/>
              <w:rPr>
                <w:rFonts w:eastAsia="PMingLiU"/>
                <w:sz w:val="28"/>
                <w:szCs w:val="28"/>
                <w:lang w:val="vi-VN" w:eastAsia="vi-VN"/>
              </w:rPr>
            </w:pPr>
          </w:p>
        </w:tc>
        <w:tc>
          <w:tcPr>
            <w:tcW w:w="2941" w:type="pct"/>
            <w:hideMark/>
          </w:tcPr>
          <w:p w14:paraId="326318F4" w14:textId="77777777" w:rsidR="004409AB" w:rsidRPr="004409AB" w:rsidRDefault="004409AB" w:rsidP="004409AB">
            <w:pPr>
              <w:autoSpaceDN w:val="0"/>
              <w:jc w:val="center"/>
              <w:rPr>
                <w:rFonts w:eastAsia="PMingLiU"/>
                <w:b/>
                <w:sz w:val="26"/>
                <w:szCs w:val="26"/>
                <w:lang w:val="vi-VN" w:eastAsia="vi-VN"/>
              </w:rPr>
            </w:pPr>
            <w:r w:rsidRPr="004409AB">
              <w:rPr>
                <w:rFonts w:eastAsia="PMingLiU"/>
                <w:b/>
                <w:sz w:val="26"/>
                <w:szCs w:val="26"/>
                <w:lang w:val="vi-VN" w:eastAsia="vi-VN"/>
              </w:rPr>
              <w:t>CỘNG HÒA XÃ HỘI CHỦ NGHĨA VIỆT NAM</w:t>
            </w:r>
          </w:p>
          <w:p w14:paraId="1EC1210F" w14:textId="77777777" w:rsidR="004409AB" w:rsidRPr="004409AB" w:rsidRDefault="004409AB" w:rsidP="004409AB">
            <w:pPr>
              <w:autoSpaceDN w:val="0"/>
              <w:jc w:val="center"/>
              <w:rPr>
                <w:rFonts w:eastAsia="PMingLiU"/>
                <w:sz w:val="28"/>
                <w:szCs w:val="28"/>
                <w:lang w:val="vi-VN" w:eastAsia="vi-VN"/>
              </w:rPr>
            </w:pPr>
            <w:r w:rsidRPr="004409AB">
              <w:rPr>
                <w:noProof/>
                <w14:ligatures w14:val="standardContextual"/>
              </w:rPr>
              <mc:AlternateContent>
                <mc:Choice Requires="wps">
                  <w:drawing>
                    <wp:anchor distT="4294967219" distB="4294967219" distL="114300" distR="114300" simplePos="0" relativeHeight="251666432" behindDoc="0" locked="0" layoutInCell="1" allowOverlap="1" wp14:anchorId="5E43B36F" wp14:editId="66478602">
                      <wp:simplePos x="0" y="0"/>
                      <wp:positionH relativeFrom="column">
                        <wp:posOffset>696595</wp:posOffset>
                      </wp:positionH>
                      <wp:positionV relativeFrom="paragraph">
                        <wp:posOffset>236220</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4Oz+DEAQAAbgMAAA4AAAAAAAAAAAAA&#10;AAAALgIAAGRycy9lMm9Eb2MueG1sUEsBAi0AFAAGAAgAAAAhALK3LjjeAAAACQEAAA8AAAAAAAAA&#10;AAAAAAAAHgQAAGRycy9kb3ducmV2LnhtbFBLBQYAAAAABAAEAPMAAAApBQAAAAA=&#10;">
                      <v:stroke joinstyle="miter"/>
                      <o:lock v:ext="edit" shapetype="f"/>
                    </v:line>
                  </w:pict>
                </mc:Fallback>
              </mc:AlternateContent>
            </w:r>
            <w:r w:rsidRPr="004409AB">
              <w:rPr>
                <w:rFonts w:eastAsia="PMingLiU"/>
                <w:b/>
                <w:sz w:val="28"/>
                <w:szCs w:val="28"/>
                <w:lang w:val="vi-VN" w:eastAsia="vi-VN"/>
              </w:rPr>
              <w:t>Độc lập - Tự do - Hạnh phúc</w:t>
            </w:r>
          </w:p>
        </w:tc>
      </w:tr>
      <w:tr w:rsidR="004409AB" w:rsidRPr="004409AB" w14:paraId="530B116F" w14:textId="77777777" w:rsidTr="004409AB">
        <w:trPr>
          <w:trHeight w:val="20"/>
        </w:trPr>
        <w:tc>
          <w:tcPr>
            <w:tcW w:w="1544" w:type="pct"/>
            <w:hideMark/>
          </w:tcPr>
          <w:p w14:paraId="03789288" w14:textId="2B050EA1" w:rsidR="004409AB" w:rsidRPr="004409AB" w:rsidRDefault="004409AB" w:rsidP="004409AB">
            <w:pPr>
              <w:autoSpaceDN w:val="0"/>
              <w:jc w:val="center"/>
              <w:rPr>
                <w:rFonts w:eastAsia="PMingLiU"/>
                <w:b/>
                <w:sz w:val="26"/>
                <w:szCs w:val="26"/>
                <w:lang w:val="vi-VN" w:eastAsia="vi-VN"/>
              </w:rPr>
            </w:pPr>
            <w:r w:rsidRPr="004409AB">
              <w:rPr>
                <w:rFonts w:eastAsia="PMingLiU"/>
                <w:sz w:val="26"/>
                <w:szCs w:val="26"/>
                <w:lang w:val="vi-VN" w:eastAsia="vi-VN"/>
              </w:rPr>
              <w:t xml:space="preserve">Số: </w:t>
            </w:r>
            <w:r>
              <w:rPr>
                <w:rFonts w:eastAsia="PMingLiU"/>
                <w:sz w:val="26"/>
                <w:szCs w:val="26"/>
                <w:lang w:eastAsia="vi-VN"/>
              </w:rPr>
              <w:t>91</w:t>
            </w:r>
            <w:r w:rsidRPr="004409AB">
              <w:rPr>
                <w:rFonts w:eastAsia="PMingLiU"/>
                <w:sz w:val="26"/>
                <w:szCs w:val="26"/>
                <w:lang w:val="vi-VN" w:eastAsia="vi-VN"/>
              </w:rPr>
              <w:t>/QĐ-UBND</w:t>
            </w:r>
          </w:p>
        </w:tc>
        <w:tc>
          <w:tcPr>
            <w:tcW w:w="515" w:type="pct"/>
          </w:tcPr>
          <w:p w14:paraId="439A0C4D" w14:textId="77777777" w:rsidR="004409AB" w:rsidRPr="004409AB" w:rsidRDefault="004409AB" w:rsidP="004409AB">
            <w:pPr>
              <w:autoSpaceDN w:val="0"/>
              <w:jc w:val="center"/>
              <w:rPr>
                <w:rFonts w:eastAsia="PMingLiU"/>
                <w:b/>
                <w:sz w:val="26"/>
                <w:szCs w:val="26"/>
                <w:lang w:val="vi-VN" w:eastAsia="vi-VN"/>
              </w:rPr>
            </w:pPr>
          </w:p>
        </w:tc>
        <w:tc>
          <w:tcPr>
            <w:tcW w:w="2941" w:type="pct"/>
            <w:hideMark/>
          </w:tcPr>
          <w:p w14:paraId="07D6B5DA" w14:textId="0A468CE9" w:rsidR="004409AB" w:rsidRPr="004409AB" w:rsidRDefault="004409AB" w:rsidP="004409AB">
            <w:pPr>
              <w:autoSpaceDN w:val="0"/>
              <w:jc w:val="center"/>
              <w:rPr>
                <w:rFonts w:eastAsia="PMingLiU"/>
                <w:b/>
                <w:sz w:val="26"/>
                <w:szCs w:val="26"/>
                <w:lang w:eastAsia="vi-VN"/>
              </w:rPr>
            </w:pPr>
            <w:r w:rsidRPr="004409AB">
              <w:rPr>
                <w:rFonts w:eastAsia="PMingLiU"/>
                <w:i/>
                <w:sz w:val="28"/>
                <w:szCs w:val="28"/>
                <w:lang w:val="vi-VN" w:eastAsia="vi-VN"/>
              </w:rPr>
              <w:t xml:space="preserve">Đồng Nai, ngày </w:t>
            </w:r>
            <w:r>
              <w:rPr>
                <w:rFonts w:eastAsia="PMingLiU"/>
                <w:i/>
                <w:sz w:val="28"/>
                <w:szCs w:val="28"/>
                <w:lang w:eastAsia="vi-VN"/>
              </w:rPr>
              <w:t>12</w:t>
            </w:r>
            <w:r w:rsidRPr="004409AB">
              <w:rPr>
                <w:rFonts w:eastAsia="PMingLiU"/>
                <w:i/>
                <w:sz w:val="28"/>
                <w:szCs w:val="28"/>
                <w:lang w:val="vi-VN" w:eastAsia="vi-VN"/>
              </w:rPr>
              <w:t xml:space="preserve"> tháng </w:t>
            </w:r>
            <w:r w:rsidRPr="004409AB">
              <w:rPr>
                <w:rFonts w:eastAsia="PMingLiU"/>
                <w:i/>
                <w:sz w:val="28"/>
                <w:szCs w:val="28"/>
                <w:lang w:eastAsia="vi-VN"/>
              </w:rPr>
              <w:t>01</w:t>
            </w:r>
            <w:r w:rsidRPr="004409AB">
              <w:rPr>
                <w:rFonts w:eastAsia="PMingLiU"/>
                <w:i/>
                <w:sz w:val="28"/>
                <w:szCs w:val="28"/>
                <w:lang w:val="vi-VN" w:eastAsia="vi-VN"/>
              </w:rPr>
              <w:t xml:space="preserve"> năm 202</w:t>
            </w:r>
            <w:r w:rsidRPr="004409AB">
              <w:rPr>
                <w:rFonts w:eastAsia="PMingLiU"/>
                <w:i/>
                <w:sz w:val="28"/>
                <w:szCs w:val="28"/>
                <w:lang w:eastAsia="vi-VN"/>
              </w:rPr>
              <w:t>6</w:t>
            </w:r>
          </w:p>
        </w:tc>
      </w:tr>
    </w:tbl>
    <w:p w14:paraId="613FAA7B" w14:textId="77777777" w:rsidR="004409AB" w:rsidRDefault="004409AB" w:rsidP="004409AB">
      <w:pPr>
        <w:jc w:val="center"/>
        <w:rPr>
          <w:b/>
          <w:sz w:val="28"/>
          <w:szCs w:val="28"/>
          <w:highlight w:val="white"/>
        </w:rPr>
      </w:pPr>
    </w:p>
    <w:p w14:paraId="1FCEA6DA" w14:textId="77777777" w:rsidR="00781842" w:rsidRPr="004409AB" w:rsidRDefault="00781842" w:rsidP="004409AB">
      <w:pPr>
        <w:jc w:val="center"/>
        <w:rPr>
          <w:b/>
          <w:sz w:val="28"/>
          <w:szCs w:val="28"/>
          <w:highlight w:val="white"/>
        </w:rPr>
      </w:pPr>
      <w:r w:rsidRPr="004409AB">
        <w:rPr>
          <w:b/>
          <w:sz w:val="28"/>
          <w:szCs w:val="28"/>
          <w:highlight w:val="white"/>
        </w:rPr>
        <w:t>QUYẾT ĐỊNH</w:t>
      </w:r>
    </w:p>
    <w:p w14:paraId="55E3B271" w14:textId="17187222" w:rsidR="00781842" w:rsidRPr="004409AB" w:rsidRDefault="00781842" w:rsidP="004409AB">
      <w:pPr>
        <w:jc w:val="center"/>
        <w:rPr>
          <w:b/>
          <w:bCs/>
          <w:iCs/>
          <w:sz w:val="28"/>
          <w:szCs w:val="28"/>
          <w:highlight w:val="white"/>
        </w:rPr>
      </w:pPr>
      <w:r w:rsidRPr="004409AB">
        <w:rPr>
          <w:b/>
          <w:sz w:val="28"/>
          <w:szCs w:val="28"/>
          <w:highlight w:val="white"/>
          <w:u w:color="FF0000"/>
        </w:rPr>
        <w:t xml:space="preserve">Phê duyệt </w:t>
      </w:r>
      <w:r w:rsidRPr="004409AB">
        <w:rPr>
          <w:b/>
          <w:sz w:val="28"/>
          <w:szCs w:val="28"/>
          <w:u w:color="FF0000"/>
        </w:rPr>
        <w:t xml:space="preserve">khoản viện trợ là </w:t>
      </w:r>
      <w:r w:rsidRPr="004409AB">
        <w:rPr>
          <w:b/>
          <w:sz w:val="28"/>
          <w:szCs w:val="28"/>
        </w:rPr>
        <w:t>d</w:t>
      </w:r>
      <w:r w:rsidRPr="004409AB">
        <w:rPr>
          <w:b/>
          <w:sz w:val="28"/>
          <w:szCs w:val="28"/>
          <w:lang w:val="vi-VN"/>
        </w:rPr>
        <w:t xml:space="preserve">ự án </w:t>
      </w:r>
      <w:r w:rsidRPr="004409AB">
        <w:rPr>
          <w:b/>
          <w:sz w:val="28"/>
          <w:szCs w:val="28"/>
        </w:rPr>
        <w:t>Hỗ trợ trẻ em có hoàn cảnh đặc biệt khó khăn trên địa bàn tỉnh Đồng Nai giai đoạn 2025</w:t>
      </w:r>
      <w:r w:rsidR="00614BDB" w:rsidRPr="004409AB">
        <w:rPr>
          <w:b/>
          <w:sz w:val="28"/>
          <w:szCs w:val="28"/>
        </w:rPr>
        <w:t xml:space="preserve"> </w:t>
      </w:r>
      <w:r w:rsidRPr="004409AB">
        <w:rPr>
          <w:b/>
          <w:sz w:val="28"/>
          <w:szCs w:val="28"/>
        </w:rPr>
        <w:t>-</w:t>
      </w:r>
      <w:r w:rsidR="00614BDB" w:rsidRPr="004409AB">
        <w:rPr>
          <w:b/>
          <w:sz w:val="28"/>
          <w:szCs w:val="28"/>
        </w:rPr>
        <w:t xml:space="preserve"> </w:t>
      </w:r>
      <w:r w:rsidRPr="004409AB">
        <w:rPr>
          <w:b/>
          <w:sz w:val="28"/>
          <w:szCs w:val="28"/>
        </w:rPr>
        <w:t xml:space="preserve">2030 </w:t>
      </w:r>
      <w:r w:rsidRPr="004409AB">
        <w:rPr>
          <w:b/>
          <w:sz w:val="28"/>
          <w:szCs w:val="28"/>
          <w:lang w:val="vi-VN"/>
        </w:rPr>
        <w:t>do</w:t>
      </w:r>
      <w:r w:rsidRPr="004409AB">
        <w:rPr>
          <w:b/>
          <w:sz w:val="28"/>
          <w:szCs w:val="28"/>
        </w:rPr>
        <w:t xml:space="preserve"> Tổ chức</w:t>
      </w:r>
      <w:r w:rsidRPr="004409AB">
        <w:rPr>
          <w:b/>
          <w:sz w:val="28"/>
          <w:szCs w:val="28"/>
          <w:lang w:val="vi-VN"/>
        </w:rPr>
        <w:t xml:space="preserve"> </w:t>
      </w:r>
      <w:bookmarkStart w:id="0" w:name="_Hlk195880471"/>
      <w:r w:rsidRPr="004409AB">
        <w:rPr>
          <w:b/>
          <w:sz w:val="28"/>
          <w:szCs w:val="28"/>
        </w:rPr>
        <w:t xml:space="preserve">Holt International Children’s Services </w:t>
      </w:r>
      <w:bookmarkEnd w:id="0"/>
      <w:r w:rsidRPr="004409AB">
        <w:rPr>
          <w:b/>
          <w:sz w:val="28"/>
          <w:szCs w:val="28"/>
          <w:lang w:val="vi-VN"/>
        </w:rPr>
        <w:t>tài tr</w:t>
      </w:r>
      <w:r w:rsidRPr="004409AB">
        <w:rPr>
          <w:b/>
          <w:sz w:val="28"/>
          <w:szCs w:val="28"/>
        </w:rPr>
        <w:t>ợ</w:t>
      </w:r>
    </w:p>
    <w:p w14:paraId="1B416A33" w14:textId="50E543C9" w:rsidR="00781842" w:rsidRPr="004409AB" w:rsidRDefault="00781842" w:rsidP="004409AB">
      <w:pPr>
        <w:jc w:val="center"/>
        <w:rPr>
          <w:b/>
          <w:bCs/>
          <w:iCs/>
          <w:sz w:val="28"/>
          <w:szCs w:val="28"/>
          <w:highlight w:val="white"/>
        </w:rPr>
      </w:pPr>
      <w:r w:rsidRPr="004409AB">
        <w:rPr>
          <w:b/>
          <w:noProof/>
          <w:sz w:val="28"/>
          <w:szCs w:val="28"/>
          <w:highlight w:val="white"/>
        </w:rPr>
        <mc:AlternateContent>
          <mc:Choice Requires="wps">
            <w:drawing>
              <wp:anchor distT="0" distB="0" distL="114300" distR="114300" simplePos="0" relativeHeight="251663360" behindDoc="0" locked="0" layoutInCell="1" allowOverlap="1" wp14:anchorId="3CAEFA8C" wp14:editId="15FE0628">
                <wp:simplePos x="0" y="0"/>
                <wp:positionH relativeFrom="column">
                  <wp:posOffset>2365375</wp:posOffset>
                </wp:positionH>
                <wp:positionV relativeFrom="paragraph">
                  <wp:posOffset>40640</wp:posOffset>
                </wp:positionV>
                <wp:extent cx="1371600" cy="0"/>
                <wp:effectExtent l="0" t="0" r="19050" b="19050"/>
                <wp:wrapNone/>
                <wp:docPr id="178405837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5pt,3.2pt" to="294.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"/>
            </w:pict>
          </mc:Fallback>
        </mc:AlternateContent>
      </w:r>
    </w:p>
    <w:p w14:paraId="423E1A93" w14:textId="3855B110" w:rsidR="00781842" w:rsidRPr="004409AB" w:rsidRDefault="00781842" w:rsidP="004409AB">
      <w:pPr>
        <w:jc w:val="center"/>
        <w:rPr>
          <w:b/>
          <w:sz w:val="28"/>
          <w:szCs w:val="28"/>
          <w:highlight w:val="white"/>
        </w:rPr>
      </w:pPr>
      <w:r w:rsidRPr="004409AB">
        <w:rPr>
          <w:b/>
          <w:sz w:val="28"/>
          <w:szCs w:val="28"/>
          <w:highlight w:val="white"/>
        </w:rPr>
        <w:t>CHỦ TỊCH ỦY BAN NHÂN DÂN TỈNH ĐỒNG NAI</w:t>
      </w:r>
    </w:p>
    <w:p w14:paraId="638E4288" w14:textId="77777777" w:rsidR="00781842" w:rsidRPr="004409AB" w:rsidRDefault="00781842" w:rsidP="004409AB">
      <w:pPr>
        <w:spacing w:before="120"/>
        <w:ind w:firstLine="567"/>
        <w:jc w:val="both"/>
        <w:rPr>
          <w:i/>
          <w:sz w:val="28"/>
          <w:szCs w:val="28"/>
          <w:highlight w:val="white"/>
        </w:rPr>
      </w:pPr>
      <w:r w:rsidRPr="004409AB">
        <w:rPr>
          <w:i/>
          <w:sz w:val="28"/>
          <w:szCs w:val="28"/>
          <w:highlight w:val="white"/>
        </w:rPr>
        <w:t>Căn cứ Luật Tổ chức chính quyền địa phương ngày 16 tháng 6 năm 2025;</w:t>
      </w:r>
    </w:p>
    <w:p w14:paraId="639B4008" w14:textId="77777777" w:rsidR="00781842" w:rsidRPr="004409AB" w:rsidRDefault="00781842" w:rsidP="004409AB">
      <w:pPr>
        <w:spacing w:before="120"/>
        <w:ind w:firstLine="567"/>
        <w:jc w:val="both"/>
        <w:rPr>
          <w:i/>
          <w:sz w:val="28"/>
          <w:szCs w:val="28"/>
          <w:highlight w:val="white"/>
        </w:rPr>
      </w:pPr>
      <w:r w:rsidRPr="004409AB">
        <w:rPr>
          <w:i/>
          <w:sz w:val="28"/>
          <w:szCs w:val="28"/>
          <w:highlight w:val="white"/>
        </w:rPr>
        <w:t>Căn cứ Nghị định số 313/2025/NĐ-CP ngày 08 tháng 12 năm 2025 của Chính phủ về Quản lý và sử dụng viện trợ không hoàn lại không thuộc hỗ trợ phát triển chính thức của cơ quan, tổ chức, cá nhân nước ngoài dành cho Việt Nam;</w:t>
      </w:r>
    </w:p>
    <w:p w14:paraId="55F470EF" w14:textId="273D7225" w:rsidR="00781842" w:rsidRPr="004409AB" w:rsidRDefault="00781842" w:rsidP="004409AB">
      <w:pPr>
        <w:spacing w:before="120"/>
        <w:ind w:firstLine="567"/>
        <w:jc w:val="both"/>
        <w:rPr>
          <w:i/>
          <w:sz w:val="28"/>
          <w:szCs w:val="28"/>
          <w:highlight w:val="white"/>
        </w:rPr>
      </w:pPr>
      <w:r w:rsidRPr="004409AB">
        <w:rPr>
          <w:i/>
          <w:sz w:val="28"/>
          <w:szCs w:val="28"/>
          <w:highlight w:val="white"/>
        </w:rPr>
        <w:t>Căn cứ Thông tư số 23/2022/TT-BTC ngày 06 tháng 4 năm 2022</w:t>
      </w:r>
      <w:r w:rsidR="0026298D" w:rsidRPr="004409AB">
        <w:rPr>
          <w:i/>
          <w:sz w:val="28"/>
          <w:szCs w:val="28"/>
          <w:highlight w:val="white"/>
        </w:rPr>
        <w:t xml:space="preserve"> của Bộ Tài chính</w:t>
      </w:r>
      <w:r w:rsidRPr="004409AB">
        <w:rPr>
          <w:i/>
          <w:sz w:val="28"/>
          <w:szCs w:val="28"/>
          <w:highlight w:val="white"/>
        </w:rPr>
        <w:t xml:space="preserve"> về việc </w:t>
      </w:r>
      <w:r w:rsidR="0026298D" w:rsidRPr="004409AB">
        <w:rPr>
          <w:i/>
          <w:sz w:val="28"/>
          <w:szCs w:val="28"/>
          <w:highlight w:val="white"/>
        </w:rPr>
        <w:t>h</w:t>
      </w:r>
      <w:r w:rsidRPr="004409AB">
        <w:rPr>
          <w:i/>
          <w:sz w:val="28"/>
          <w:szCs w:val="28"/>
          <w:highlight w:val="white"/>
        </w:rPr>
        <w:t>ướng dẫn quản lý tài chính Nhà nước đối với nguồn viện trợ không hoàn lại của nước ngoài thuộc nguồn thu ngân sách;</w:t>
      </w:r>
    </w:p>
    <w:p w14:paraId="1D9D6E99" w14:textId="77777777" w:rsidR="00781842" w:rsidRPr="004409AB" w:rsidRDefault="00781842" w:rsidP="004409AB">
      <w:pPr>
        <w:spacing w:before="120"/>
        <w:ind w:firstLine="567"/>
        <w:jc w:val="both"/>
        <w:rPr>
          <w:i/>
          <w:sz w:val="28"/>
          <w:szCs w:val="28"/>
          <w:highlight w:val="white"/>
        </w:rPr>
      </w:pPr>
      <w:r w:rsidRPr="004409AB">
        <w:rPr>
          <w:i/>
          <w:sz w:val="28"/>
          <w:szCs w:val="28"/>
          <w:highlight w:val="white"/>
        </w:rPr>
        <w:t xml:space="preserve">Xét </w:t>
      </w:r>
      <w:r w:rsidRPr="004409AB">
        <w:rPr>
          <w:i/>
          <w:iCs/>
          <w:sz w:val="28"/>
          <w:szCs w:val="28"/>
        </w:rPr>
        <w:t xml:space="preserve">Công văn số 2532/SYT-CSXH ngày 25 tháng 9 năm 2025 của Sở Y tế </w:t>
      </w:r>
      <w:r w:rsidRPr="004409AB">
        <w:rPr>
          <w:i/>
          <w:sz w:val="28"/>
          <w:szCs w:val="28"/>
          <w:highlight w:val="white"/>
          <w:u w:color="FF0000"/>
        </w:rPr>
        <w:t>kèm</w:t>
      </w:r>
      <w:r w:rsidRPr="004409AB">
        <w:rPr>
          <w:i/>
          <w:sz w:val="28"/>
          <w:szCs w:val="28"/>
          <w:highlight w:val="white"/>
        </w:rPr>
        <w:t xml:space="preserve"> hồ sơ khoản viện trợ;</w:t>
      </w:r>
    </w:p>
    <w:p w14:paraId="4E504544" w14:textId="4A50A06B" w:rsidR="00781842" w:rsidRPr="004409AB" w:rsidRDefault="00781842" w:rsidP="004409AB">
      <w:pPr>
        <w:spacing w:before="120"/>
        <w:ind w:firstLine="567"/>
        <w:jc w:val="both"/>
        <w:rPr>
          <w:i/>
          <w:sz w:val="28"/>
          <w:szCs w:val="28"/>
          <w:highlight w:val="white"/>
          <w:u w:color="FF0000"/>
        </w:rPr>
      </w:pPr>
      <w:r w:rsidRPr="004409AB">
        <w:rPr>
          <w:i/>
          <w:sz w:val="28"/>
          <w:szCs w:val="28"/>
          <w:highlight w:val="white"/>
        </w:rPr>
        <w:tab/>
        <w:t xml:space="preserve">Theo đề nghị của </w:t>
      </w:r>
      <w:r w:rsidRPr="004409AB">
        <w:rPr>
          <w:i/>
          <w:sz w:val="28"/>
          <w:szCs w:val="28"/>
          <w:highlight w:val="white"/>
          <w:u w:color="FF0000"/>
        </w:rPr>
        <w:t>Giám đốc</w:t>
      </w:r>
      <w:r w:rsidRPr="004409AB">
        <w:rPr>
          <w:i/>
          <w:sz w:val="28"/>
          <w:szCs w:val="28"/>
          <w:highlight w:val="white"/>
        </w:rPr>
        <w:t xml:space="preserve"> Sở Tài chính tại </w:t>
      </w:r>
      <w:r w:rsidRPr="004409AB">
        <w:rPr>
          <w:i/>
          <w:sz w:val="28"/>
          <w:szCs w:val="28"/>
          <w:highlight w:val="white"/>
          <w:u w:color="FF0000"/>
        </w:rPr>
        <w:t>Báo cáo thẩm định số 919/BC</w:t>
      </w:r>
      <w:r w:rsidRPr="004409AB">
        <w:rPr>
          <w:i/>
          <w:sz w:val="28"/>
          <w:szCs w:val="28"/>
          <w:highlight w:val="white"/>
        </w:rPr>
        <w:t>-STC ngày 11 tháng 12 n</w:t>
      </w:r>
      <w:r w:rsidRPr="004409AB">
        <w:rPr>
          <w:i/>
          <w:sz w:val="28"/>
          <w:szCs w:val="28"/>
          <w:highlight w:val="white"/>
          <w:u w:color="FF0000"/>
        </w:rPr>
        <w:t>ăm 2025 và Công văn số 8916/STC-KTN ngày 29 tháng 12 năm 2025 về việc rà soát hoàn thiện hồ sơ đề nghị phê duyệt khoản viện trợ của Tổ chức Holt.</w:t>
      </w:r>
    </w:p>
    <w:p w14:paraId="1AA581A4" w14:textId="1226F514" w:rsidR="00781842" w:rsidRPr="004409AB" w:rsidRDefault="00781842" w:rsidP="004409AB">
      <w:pPr>
        <w:spacing w:before="240" w:after="240"/>
        <w:jc w:val="center"/>
        <w:rPr>
          <w:b/>
          <w:sz w:val="28"/>
          <w:szCs w:val="28"/>
          <w:highlight w:val="white"/>
        </w:rPr>
      </w:pPr>
      <w:r w:rsidRPr="004409AB">
        <w:rPr>
          <w:b/>
          <w:sz w:val="28"/>
          <w:szCs w:val="28"/>
          <w:highlight w:val="white"/>
        </w:rPr>
        <w:t>QUYẾT ĐỊNH:</w:t>
      </w:r>
    </w:p>
    <w:p w14:paraId="5A6B4193" w14:textId="77777777" w:rsidR="00781842" w:rsidRPr="004409AB" w:rsidRDefault="00781842" w:rsidP="004409AB">
      <w:pPr>
        <w:tabs>
          <w:tab w:val="left" w:pos="567"/>
        </w:tabs>
        <w:spacing w:before="120"/>
        <w:ind w:firstLine="567"/>
        <w:jc w:val="both"/>
        <w:rPr>
          <w:sz w:val="28"/>
          <w:szCs w:val="28"/>
          <w:highlight w:val="white"/>
        </w:rPr>
      </w:pPr>
      <w:r w:rsidRPr="004409AB">
        <w:rPr>
          <w:b/>
          <w:sz w:val="28"/>
          <w:szCs w:val="28"/>
          <w:highlight w:val="white"/>
        </w:rPr>
        <w:tab/>
        <w:t xml:space="preserve">Điều 1. </w:t>
      </w:r>
      <w:r w:rsidRPr="004409AB">
        <w:rPr>
          <w:sz w:val="28"/>
          <w:szCs w:val="28"/>
          <w:highlight w:val="white"/>
        </w:rPr>
        <w:t>Phê duyệt tiếp nhận khoản viện trợ là Dự án với các nội dung sau:</w:t>
      </w:r>
    </w:p>
    <w:p w14:paraId="5FBF8BCD" w14:textId="5AF9914A" w:rsidR="00781842" w:rsidRPr="004409AB" w:rsidRDefault="00781842" w:rsidP="004409AB">
      <w:pPr>
        <w:spacing w:before="120"/>
        <w:ind w:firstLine="567"/>
        <w:jc w:val="both"/>
        <w:rPr>
          <w:bCs/>
          <w:sz w:val="28"/>
          <w:szCs w:val="28"/>
          <w:highlight w:val="white"/>
          <w:lang w:val="vi-VN"/>
        </w:rPr>
      </w:pPr>
      <w:r w:rsidRPr="004409AB">
        <w:rPr>
          <w:sz w:val="28"/>
          <w:szCs w:val="28"/>
          <w:highlight w:val="white"/>
        </w:rPr>
        <w:tab/>
        <w:t xml:space="preserve">1. </w:t>
      </w:r>
      <w:r w:rsidRPr="004409AB">
        <w:rPr>
          <w:sz w:val="28"/>
          <w:szCs w:val="28"/>
          <w:highlight w:val="white"/>
          <w:u w:color="FF0000"/>
        </w:rPr>
        <w:t>Tên khoản</w:t>
      </w:r>
      <w:r w:rsidRPr="004409AB">
        <w:rPr>
          <w:sz w:val="28"/>
          <w:szCs w:val="28"/>
          <w:highlight w:val="white"/>
        </w:rPr>
        <w:t xml:space="preserve"> viện trợ: </w:t>
      </w:r>
      <w:r w:rsidRPr="004409AB">
        <w:rPr>
          <w:sz w:val="28"/>
          <w:szCs w:val="28"/>
        </w:rPr>
        <w:t>Hỗ trợ trẻ em có hoàn cảnh đặc biệt khó khăn trên địa bàn tỉnh Đồng Nai giai đoạn 2025</w:t>
      </w:r>
      <w:r w:rsidR="00614BDB" w:rsidRPr="004409AB">
        <w:rPr>
          <w:sz w:val="28"/>
          <w:szCs w:val="28"/>
        </w:rPr>
        <w:t xml:space="preserve"> </w:t>
      </w:r>
      <w:r w:rsidRPr="004409AB">
        <w:rPr>
          <w:sz w:val="28"/>
          <w:szCs w:val="28"/>
        </w:rPr>
        <w:t>-</w:t>
      </w:r>
      <w:r w:rsidR="00614BDB" w:rsidRPr="004409AB">
        <w:rPr>
          <w:sz w:val="28"/>
          <w:szCs w:val="28"/>
        </w:rPr>
        <w:t xml:space="preserve"> </w:t>
      </w:r>
      <w:r w:rsidRPr="004409AB">
        <w:rPr>
          <w:sz w:val="28"/>
          <w:szCs w:val="28"/>
        </w:rPr>
        <w:t>2030</w:t>
      </w:r>
      <w:r w:rsidRPr="004409AB">
        <w:rPr>
          <w:iCs/>
          <w:sz w:val="28"/>
          <w:szCs w:val="28"/>
          <w:highlight w:val="white"/>
        </w:rPr>
        <w:t>.</w:t>
      </w:r>
    </w:p>
    <w:p w14:paraId="52632AC9" w14:textId="77777777" w:rsidR="00781842" w:rsidRPr="004409AB" w:rsidRDefault="00781842" w:rsidP="004409AB">
      <w:pPr>
        <w:spacing w:before="120"/>
        <w:ind w:firstLine="567"/>
        <w:jc w:val="both"/>
        <w:rPr>
          <w:sz w:val="28"/>
          <w:szCs w:val="28"/>
          <w:highlight w:val="white"/>
          <w:lang w:val="vi-VN"/>
        </w:rPr>
      </w:pPr>
      <w:r w:rsidRPr="004409AB">
        <w:rPr>
          <w:sz w:val="28"/>
          <w:szCs w:val="28"/>
          <w:highlight w:val="white"/>
          <w:lang w:val="vi-VN"/>
        </w:rPr>
        <w:t>2. Cơ quan chủ quản: Ủy ban nhân dân tỉnh Đồng Nai.</w:t>
      </w:r>
    </w:p>
    <w:p w14:paraId="416D4FC4" w14:textId="4F92F2C3" w:rsidR="00781842" w:rsidRPr="004409AB" w:rsidRDefault="00781842" w:rsidP="004409AB">
      <w:pPr>
        <w:spacing w:before="120"/>
        <w:ind w:firstLine="567"/>
        <w:jc w:val="both"/>
        <w:rPr>
          <w:sz w:val="28"/>
          <w:szCs w:val="28"/>
          <w:highlight w:val="white"/>
          <w:lang w:val="vi-VN"/>
        </w:rPr>
      </w:pPr>
      <w:r w:rsidRPr="004409AB">
        <w:rPr>
          <w:sz w:val="28"/>
          <w:szCs w:val="28"/>
          <w:highlight w:val="white"/>
          <w:lang w:val="vi-VN"/>
        </w:rPr>
        <w:t>3. Chủ khoản viện trợ (</w:t>
      </w:r>
      <w:r w:rsidR="00811C54" w:rsidRPr="004409AB">
        <w:rPr>
          <w:sz w:val="28"/>
          <w:szCs w:val="28"/>
          <w:highlight w:val="white"/>
          <w:lang w:val="vi-VN"/>
        </w:rPr>
        <w:t>C</w:t>
      </w:r>
      <w:r w:rsidRPr="004409AB">
        <w:rPr>
          <w:sz w:val="28"/>
          <w:szCs w:val="28"/>
          <w:highlight w:val="white"/>
          <w:lang w:val="vi-VN"/>
        </w:rPr>
        <w:t xml:space="preserve">hủ dự án): </w:t>
      </w:r>
      <w:r w:rsidRPr="004409AB">
        <w:rPr>
          <w:sz w:val="28"/>
          <w:szCs w:val="28"/>
          <w:lang w:val="vi-VN"/>
        </w:rPr>
        <w:t>Sở Y tế.</w:t>
      </w:r>
    </w:p>
    <w:p w14:paraId="1999D784" w14:textId="77777777" w:rsidR="00781842" w:rsidRPr="004409AB" w:rsidRDefault="00781842" w:rsidP="004409AB">
      <w:pPr>
        <w:spacing w:before="120"/>
        <w:ind w:firstLine="567"/>
        <w:jc w:val="both"/>
        <w:rPr>
          <w:sz w:val="28"/>
          <w:szCs w:val="28"/>
          <w:highlight w:val="white"/>
        </w:rPr>
      </w:pPr>
      <w:r w:rsidRPr="004409AB">
        <w:rPr>
          <w:sz w:val="28"/>
          <w:szCs w:val="28"/>
          <w:highlight w:val="white"/>
          <w:lang w:val="vi-VN"/>
        </w:rPr>
        <w:tab/>
      </w:r>
      <w:r w:rsidRPr="004409AB">
        <w:rPr>
          <w:sz w:val="28"/>
          <w:szCs w:val="28"/>
          <w:highlight w:val="white"/>
        </w:rPr>
        <w:t xml:space="preserve">4. Cơ quan tài trợ: </w:t>
      </w:r>
      <w:r w:rsidRPr="004409AB">
        <w:rPr>
          <w:sz w:val="28"/>
          <w:szCs w:val="28"/>
        </w:rPr>
        <w:t>Tổ</w:t>
      </w:r>
      <w:r w:rsidRPr="004409AB">
        <w:rPr>
          <w:sz w:val="28"/>
          <w:szCs w:val="28"/>
          <w:lang w:val="vi-VN"/>
        </w:rPr>
        <w:t xml:space="preserve"> chức </w:t>
      </w:r>
      <w:r w:rsidRPr="004409AB">
        <w:rPr>
          <w:sz w:val="28"/>
          <w:szCs w:val="28"/>
        </w:rPr>
        <w:t>Holt International Children’s Services</w:t>
      </w:r>
      <w:r w:rsidRPr="004409AB">
        <w:rPr>
          <w:sz w:val="28"/>
          <w:szCs w:val="28"/>
          <w:highlight w:val="white"/>
        </w:rPr>
        <w:t>.</w:t>
      </w:r>
    </w:p>
    <w:p w14:paraId="3DED971B" w14:textId="77777777" w:rsidR="00781842" w:rsidRPr="004409AB" w:rsidRDefault="00781842" w:rsidP="004409AB">
      <w:pPr>
        <w:spacing w:before="120"/>
        <w:ind w:firstLine="567"/>
        <w:jc w:val="both"/>
        <w:rPr>
          <w:sz w:val="28"/>
          <w:szCs w:val="28"/>
          <w:highlight w:val="white"/>
        </w:rPr>
      </w:pPr>
      <w:r w:rsidRPr="004409AB">
        <w:rPr>
          <w:sz w:val="28"/>
          <w:szCs w:val="28"/>
          <w:highlight w:val="white"/>
        </w:rPr>
        <w:t>5. Mục tiêu và kết quả chủ yếu:</w:t>
      </w:r>
    </w:p>
    <w:p w14:paraId="7C844ABD" w14:textId="6DEFB12E" w:rsidR="0040789F" w:rsidRPr="004409AB" w:rsidRDefault="00781842" w:rsidP="004409AB">
      <w:pPr>
        <w:spacing w:before="120"/>
        <w:ind w:firstLine="567"/>
        <w:jc w:val="both"/>
        <w:rPr>
          <w:sz w:val="28"/>
          <w:szCs w:val="28"/>
        </w:rPr>
      </w:pPr>
      <w:r w:rsidRPr="004409AB">
        <w:rPr>
          <w:sz w:val="28"/>
          <w:szCs w:val="28"/>
        </w:rPr>
        <w:t>- Mục tiêu: Hỗ trợ trẻ em có hoàn cảnh khó khăn tại tỉnh Đồng Nai được chăm sóc an toàn, đầy đủ; bảo đảm quyền được học tập và phát triển toàn diện trong môi trường gia đình và cộng đồng; nâng cao chất lượng dinh dưỡng và</w:t>
      </w:r>
      <w:r w:rsidR="0040789F" w:rsidRPr="004409AB">
        <w:rPr>
          <w:sz w:val="28"/>
          <w:szCs w:val="28"/>
        </w:rPr>
        <w:t xml:space="preserve"> chăm sóc y tế cho trẻ em đang được nuôi dưỡng tại các cơ sở bảo trợ xã hội trực thuộc tỉnh, tạo điều kiện để các em sớm tái hòa nhập cộng đồng; đồng thời, tăng cường năng lực cho đội ngũ làm công tác xã hội và chăm sóc trẻ em trên địa bàn tỉnh nhằm nâng cao hiệu quả hỗ trợ và bảo vệ trẻ em.</w:t>
      </w:r>
    </w:p>
    <w:p w14:paraId="7A3424F9" w14:textId="5CC29C27" w:rsidR="0040789F" w:rsidRPr="004409AB" w:rsidRDefault="0040789F" w:rsidP="004409AB">
      <w:pPr>
        <w:spacing w:before="120"/>
        <w:ind w:firstLine="567"/>
        <w:jc w:val="both"/>
        <w:rPr>
          <w:sz w:val="28"/>
          <w:szCs w:val="28"/>
        </w:rPr>
      </w:pPr>
      <w:r w:rsidRPr="004409AB">
        <w:rPr>
          <w:sz w:val="28"/>
          <w:szCs w:val="28"/>
        </w:rPr>
        <w:lastRenderedPageBreak/>
        <w:t>- Kết quả chủ yếu (dự kiến giai đoạn 2025</w:t>
      </w:r>
      <w:r w:rsidR="00614BDB" w:rsidRPr="004409AB">
        <w:rPr>
          <w:sz w:val="28"/>
          <w:szCs w:val="28"/>
        </w:rPr>
        <w:t xml:space="preserve"> </w:t>
      </w:r>
      <w:r w:rsidRPr="004409AB">
        <w:rPr>
          <w:sz w:val="28"/>
          <w:szCs w:val="28"/>
        </w:rPr>
        <w:t>-</w:t>
      </w:r>
      <w:r w:rsidR="00614BDB" w:rsidRPr="004409AB">
        <w:rPr>
          <w:sz w:val="28"/>
          <w:szCs w:val="28"/>
        </w:rPr>
        <w:t xml:space="preserve"> </w:t>
      </w:r>
      <w:r w:rsidRPr="004409AB">
        <w:rPr>
          <w:sz w:val="28"/>
          <w:szCs w:val="28"/>
        </w:rPr>
        <w:t>2030):</w:t>
      </w:r>
    </w:p>
    <w:p w14:paraId="3D7B6F73" w14:textId="77777777" w:rsidR="0040789F" w:rsidRPr="004409AB" w:rsidRDefault="0040789F" w:rsidP="004409AB">
      <w:pPr>
        <w:spacing w:before="120"/>
        <w:ind w:firstLine="567"/>
        <w:jc w:val="both"/>
        <w:rPr>
          <w:sz w:val="28"/>
          <w:szCs w:val="28"/>
        </w:rPr>
      </w:pPr>
      <w:r w:rsidRPr="004409AB">
        <w:rPr>
          <w:sz w:val="28"/>
          <w:szCs w:val="28"/>
        </w:rPr>
        <w:t>+ Hợp phần 1: 925 trẻ dưới 6 tuổi có hoàn cảnh khó khăn được đi học mầm non, tiếp cận giáo dục sớm, góp phần phát triển toàn diện về thể chất, tinh thần và kỹ năng xã hội; đồng thời tạo điều kiện để cha mẹ an tâm lao động, duy trì việc làm và ổn định kinh tế gia đình.</w:t>
      </w:r>
    </w:p>
    <w:p w14:paraId="436F6685" w14:textId="77777777" w:rsidR="0040789F" w:rsidRPr="004409AB" w:rsidRDefault="0040789F" w:rsidP="004409AB">
      <w:pPr>
        <w:spacing w:before="120"/>
        <w:ind w:firstLine="567"/>
        <w:jc w:val="both"/>
        <w:rPr>
          <w:sz w:val="28"/>
          <w:szCs w:val="28"/>
        </w:rPr>
      </w:pPr>
      <w:r w:rsidRPr="004409AB">
        <w:rPr>
          <w:sz w:val="28"/>
          <w:szCs w:val="28"/>
        </w:rPr>
        <w:t>+ Hợp phần 2: 100 gia đình có trẻ em dưới 16 tuổi đang gặp khủng hoảng hoặc khó khăn sẽ được hỗ trợ thông qua các hình thức phù hợp (tài chính, kỹ thuật, dinh dưỡng, y tế, tham vấn…), nhằm cải thiện điều kiện chăm sóc, qua đó ngăn ngừa nguy cơ trẻ bị bỏ mặc, lao động sớm, lang thang, phải vào cơ sở bảo trợ hoặc tạo điều kiện để đoàn tụ trong trường hợp trẻ đang sống tại cơ sở bảo trợ xã hội.</w:t>
      </w:r>
    </w:p>
    <w:p w14:paraId="23BCCAB2" w14:textId="77777777" w:rsidR="0040789F" w:rsidRPr="004409AB" w:rsidRDefault="0040789F" w:rsidP="004409AB">
      <w:pPr>
        <w:spacing w:before="120"/>
        <w:ind w:firstLine="567"/>
        <w:jc w:val="both"/>
        <w:rPr>
          <w:sz w:val="28"/>
          <w:szCs w:val="28"/>
        </w:rPr>
      </w:pPr>
      <w:r w:rsidRPr="004409AB">
        <w:rPr>
          <w:sz w:val="28"/>
          <w:szCs w:val="28"/>
        </w:rPr>
        <w:t>+ Hợp phần 3: 1.255 trẻ em và thanh thiếu niên có hoàn cảnh khó khăn được hỗ trợ học bổng nhằm duy trì việc học, hoàn thành bậc trung học phổ thông hoặc chương trình trung cấp nghề (hệ vừa học văn hóa vừa học nghề), với độ tuổi hỗ trợ kéo dài đến hết 18 tuổi; qua đó giảm nguy cơ bỏ học sớm do khó khăn kinh tế.</w:t>
      </w:r>
    </w:p>
    <w:p w14:paraId="1CB8C1FE" w14:textId="77777777" w:rsidR="0040789F" w:rsidRPr="004409AB" w:rsidRDefault="0040789F" w:rsidP="004409AB">
      <w:pPr>
        <w:spacing w:before="120"/>
        <w:ind w:firstLine="567"/>
        <w:jc w:val="both"/>
        <w:rPr>
          <w:sz w:val="28"/>
          <w:szCs w:val="28"/>
        </w:rPr>
      </w:pPr>
      <w:r w:rsidRPr="004409AB">
        <w:rPr>
          <w:sz w:val="28"/>
          <w:szCs w:val="28"/>
        </w:rPr>
        <w:t>+ Hợp phần 4: 250 trẻ dưới 12 tuổi đang sinh sống tại cơ sở bảo trợ xã hội được hỗ trợ dinh dưỡng và chăm sóc y tế, bao gồm tầm soát thiếu máu do thiếu sắt định kỳ, nhằm cải thiện tình trạng dinh dưỡng và chăm sóc sức khỏe; trong đó, 50 trẻ hoàn thành kế hoạch lâu dài và tái hòa nhập cộng đồng.</w:t>
      </w:r>
    </w:p>
    <w:p w14:paraId="76F6F101" w14:textId="77777777" w:rsidR="0040789F" w:rsidRPr="004409AB" w:rsidRDefault="0040789F" w:rsidP="004409AB">
      <w:pPr>
        <w:spacing w:before="120"/>
        <w:ind w:firstLine="567"/>
        <w:jc w:val="both"/>
        <w:rPr>
          <w:iCs/>
          <w:sz w:val="28"/>
          <w:szCs w:val="28"/>
        </w:rPr>
      </w:pPr>
      <w:r w:rsidRPr="004409AB">
        <w:rPr>
          <w:sz w:val="28"/>
          <w:szCs w:val="28"/>
          <w:highlight w:val="white"/>
        </w:rPr>
        <w:t xml:space="preserve">6. Địa điểm thực hiện: </w:t>
      </w:r>
      <w:bookmarkStart w:id="1" w:name="_Hlk128518453"/>
      <w:r w:rsidRPr="004409AB">
        <w:rPr>
          <w:iCs/>
          <w:sz w:val="28"/>
          <w:szCs w:val="28"/>
        </w:rPr>
        <w:t>Toàn tỉnh Đồng Nai</w:t>
      </w:r>
      <w:r w:rsidRPr="004409AB">
        <w:rPr>
          <w:sz w:val="28"/>
          <w:szCs w:val="28"/>
          <w:highlight w:val="white"/>
        </w:rPr>
        <w:t>.</w:t>
      </w:r>
      <w:bookmarkEnd w:id="1"/>
    </w:p>
    <w:p w14:paraId="7A88BB5B" w14:textId="77777777" w:rsidR="0040789F" w:rsidRPr="004409AB" w:rsidRDefault="0040789F" w:rsidP="004409AB">
      <w:pPr>
        <w:spacing w:before="120"/>
        <w:ind w:firstLine="567"/>
        <w:jc w:val="both"/>
        <w:rPr>
          <w:iCs/>
          <w:sz w:val="28"/>
          <w:szCs w:val="28"/>
        </w:rPr>
      </w:pPr>
      <w:r w:rsidRPr="004409AB">
        <w:rPr>
          <w:iCs/>
          <w:sz w:val="28"/>
          <w:szCs w:val="28"/>
          <w:highlight w:val="white"/>
        </w:rPr>
        <w:t xml:space="preserve">7. Đối tượng thụ hưởng: </w:t>
      </w:r>
      <w:r w:rsidRPr="004409AB">
        <w:rPr>
          <w:iCs/>
          <w:sz w:val="28"/>
          <w:szCs w:val="28"/>
        </w:rPr>
        <w:t>Trẻ em có hoàn cảnh khó khăn là đối tượng trực tiếp được thụ hưởng dự án. “Trẻ em có hoàn cảnh khó khăn” trong phạm vi dự án này được hiểu là:</w:t>
      </w:r>
    </w:p>
    <w:p w14:paraId="6A8885F8" w14:textId="77777777" w:rsidR="0040789F" w:rsidRPr="004409AB" w:rsidRDefault="0040789F" w:rsidP="004409AB">
      <w:pPr>
        <w:spacing w:before="120"/>
        <w:ind w:firstLine="567"/>
        <w:jc w:val="both"/>
        <w:rPr>
          <w:iCs/>
          <w:sz w:val="28"/>
          <w:szCs w:val="28"/>
        </w:rPr>
      </w:pPr>
      <w:r w:rsidRPr="004409AB">
        <w:rPr>
          <w:iCs/>
          <w:sz w:val="28"/>
          <w:szCs w:val="28"/>
        </w:rPr>
        <w:t>- Trẻ em đang sinh sống với cha mẹ hoặc người nuôi dưỡng tại cộng đồng, thuộc hộ nghèo, cận nghèo, gia đình có hoàn cảnh khó khăn hoặc gia đình đang gặp khủng hoảng (ví dụ: mất thu nhập, bệnh tật, biến cố bất ngờ…), khiến trẻ có nguy cơ không được bảo đảm đầy đủ các quyền cơ bản về phát triển, học tập, chăm sóc y tế và bảo vệ.</w:t>
      </w:r>
    </w:p>
    <w:p w14:paraId="12887B4D" w14:textId="77777777" w:rsidR="0040789F" w:rsidRPr="004409AB" w:rsidRDefault="0040789F" w:rsidP="004409AB">
      <w:pPr>
        <w:spacing w:before="120"/>
        <w:ind w:firstLine="567"/>
        <w:jc w:val="both"/>
        <w:rPr>
          <w:iCs/>
          <w:sz w:val="28"/>
          <w:szCs w:val="28"/>
        </w:rPr>
      </w:pPr>
      <w:r w:rsidRPr="004409AB">
        <w:rPr>
          <w:iCs/>
          <w:sz w:val="28"/>
          <w:szCs w:val="28"/>
        </w:rPr>
        <w:t>- Trẻ em đang được chăm sóc, nuôi dưỡng tại các cơ sở bảo trợ xã hội thuộc thẩm quyền quản lý của địa phương, có nhu cầu được hỗ trợ để cải thiện dinh dưỡng, nâng cao điều kiện sống, chăm sóc sức khỏe, giáo dục, và được hỗ trợ tái hòa nhập gia đình hoặc cộng đồng khi có thể.</w:t>
      </w:r>
    </w:p>
    <w:p w14:paraId="18EEE449" w14:textId="77777777" w:rsidR="0040789F" w:rsidRPr="004409AB" w:rsidRDefault="0040789F" w:rsidP="004409AB">
      <w:pPr>
        <w:spacing w:before="120"/>
        <w:ind w:firstLine="567"/>
        <w:jc w:val="both"/>
        <w:rPr>
          <w:sz w:val="28"/>
          <w:szCs w:val="28"/>
        </w:rPr>
      </w:pPr>
      <w:r w:rsidRPr="004409AB">
        <w:rPr>
          <w:sz w:val="28"/>
          <w:szCs w:val="28"/>
          <w:highlight w:val="white"/>
        </w:rPr>
        <w:t>8. Tổng vốn của khoản viện trợ:</w:t>
      </w:r>
      <w:bookmarkStart w:id="2" w:name="_Hlk146012693"/>
      <w:r w:rsidRPr="004409AB">
        <w:rPr>
          <w:sz w:val="28"/>
          <w:szCs w:val="28"/>
        </w:rPr>
        <w:t xml:space="preserve"> </w:t>
      </w:r>
      <w:bookmarkEnd w:id="2"/>
    </w:p>
    <w:p w14:paraId="1FB8778C" w14:textId="77777777" w:rsidR="0040789F" w:rsidRPr="004409AB" w:rsidRDefault="0040789F" w:rsidP="004409AB">
      <w:pPr>
        <w:spacing w:before="120"/>
        <w:ind w:firstLine="567"/>
        <w:jc w:val="both"/>
        <w:rPr>
          <w:sz w:val="28"/>
          <w:szCs w:val="28"/>
        </w:rPr>
      </w:pPr>
      <w:r w:rsidRPr="004409AB">
        <w:rPr>
          <w:i/>
          <w:sz w:val="28"/>
          <w:szCs w:val="28"/>
        </w:rPr>
        <w:t xml:space="preserve">- </w:t>
      </w:r>
      <w:r w:rsidRPr="004409AB">
        <w:rPr>
          <w:sz w:val="28"/>
          <w:szCs w:val="28"/>
        </w:rPr>
        <w:t>Vốn viện trợ không hoàn lại của Tổ</w:t>
      </w:r>
      <w:r w:rsidRPr="004409AB">
        <w:rPr>
          <w:sz w:val="28"/>
          <w:szCs w:val="28"/>
          <w:lang w:val="vi-VN"/>
        </w:rPr>
        <w:t xml:space="preserve"> chức </w:t>
      </w:r>
      <w:r w:rsidRPr="004409AB">
        <w:rPr>
          <w:sz w:val="28"/>
          <w:szCs w:val="28"/>
        </w:rPr>
        <w:t>Holt International Children’s Services: 7.964.850.000 đồng, tương đương 306.340 USD.</w:t>
      </w:r>
    </w:p>
    <w:p w14:paraId="4A5D6838" w14:textId="77777777" w:rsidR="00E44B8A" w:rsidRPr="004409AB" w:rsidRDefault="00E44B8A" w:rsidP="004409AB">
      <w:pPr>
        <w:spacing w:before="120"/>
        <w:ind w:firstLine="567"/>
        <w:jc w:val="both"/>
        <w:rPr>
          <w:sz w:val="28"/>
          <w:szCs w:val="28"/>
        </w:rPr>
      </w:pPr>
      <w:bookmarkStart w:id="3" w:name="_GoBack"/>
      <w:bookmarkEnd w:id="3"/>
      <w:r w:rsidRPr="004409AB">
        <w:rPr>
          <w:sz w:val="28"/>
          <w:szCs w:val="28"/>
        </w:rPr>
        <w:t>(</w:t>
      </w:r>
      <w:r w:rsidRPr="004409AB">
        <w:rPr>
          <w:i/>
          <w:sz w:val="28"/>
          <w:szCs w:val="28"/>
        </w:rPr>
        <w:t>Theo tỷ giá chuyển đổi do Ngân hàng Nhà nước Việt Nam công bố tại thời điểm xây dựng Văn kiện dự án</w:t>
      </w:r>
      <w:r w:rsidRPr="004409AB">
        <w:rPr>
          <w:sz w:val="28"/>
          <w:szCs w:val="28"/>
        </w:rPr>
        <w:t>).</w:t>
      </w:r>
    </w:p>
    <w:p w14:paraId="7C741384" w14:textId="6EB1F15D" w:rsidR="00E44B8A" w:rsidRPr="004409AB" w:rsidRDefault="00E44B8A" w:rsidP="004409AB">
      <w:pPr>
        <w:spacing w:before="120"/>
        <w:ind w:firstLine="567"/>
        <w:jc w:val="both"/>
        <w:rPr>
          <w:sz w:val="28"/>
          <w:szCs w:val="28"/>
        </w:rPr>
      </w:pPr>
      <w:r w:rsidRPr="004409AB">
        <w:rPr>
          <w:sz w:val="28"/>
          <w:szCs w:val="28"/>
        </w:rPr>
        <w:t>- Vốn đối ứng: Không</w:t>
      </w:r>
      <w:r w:rsidR="00A24014" w:rsidRPr="004409AB">
        <w:rPr>
          <w:sz w:val="28"/>
          <w:szCs w:val="28"/>
        </w:rPr>
        <w:t>.</w:t>
      </w:r>
    </w:p>
    <w:p w14:paraId="0C1DB3BB" w14:textId="77777777" w:rsidR="00E44B8A" w:rsidRPr="004409AB" w:rsidRDefault="00E44B8A" w:rsidP="004409AB">
      <w:pPr>
        <w:spacing w:before="120"/>
        <w:ind w:firstLine="567"/>
        <w:jc w:val="both"/>
        <w:rPr>
          <w:sz w:val="28"/>
          <w:szCs w:val="28"/>
        </w:rPr>
      </w:pPr>
      <w:r w:rsidRPr="004409AB">
        <w:rPr>
          <w:iCs/>
          <w:sz w:val="28"/>
          <w:szCs w:val="28"/>
          <w:highlight w:val="white"/>
        </w:rPr>
        <w:t>9. Thời gian thực hiện:</w:t>
      </w:r>
      <w:bookmarkStart w:id="4" w:name="_Hlk128518498"/>
      <w:r w:rsidRPr="004409AB">
        <w:rPr>
          <w:iCs/>
          <w:sz w:val="28"/>
          <w:szCs w:val="28"/>
          <w:highlight w:val="white"/>
        </w:rPr>
        <w:t xml:space="preserve"> </w:t>
      </w:r>
      <w:bookmarkEnd w:id="4"/>
      <w:r w:rsidRPr="004409AB">
        <w:rPr>
          <w:sz w:val="28"/>
          <w:szCs w:val="28"/>
        </w:rPr>
        <w:t xml:space="preserve">Từ khi UBND tỉnh phê duyệt tiếp nhận khoản viện trợ đến ngày 01/8/2028. Sau ngày 01/8/2028, trường hợp Giấy đăng ký lập Văn phòng đại diện tại Việt Nam của tổ chức Holt International Children’s Services được gia hạn: Thời gian thực hiện dự án từ ngày UBND phê duyệt tiếp nhận khoản viện trợ </w:t>
      </w:r>
      <w:r w:rsidRPr="004409AB">
        <w:rPr>
          <w:sz w:val="28"/>
          <w:szCs w:val="28"/>
        </w:rPr>
        <w:lastRenderedPageBreak/>
        <w:t>đến thời hạn hoạt động tại Giấy đăng ký lập Văn phòng đại diện tại Việt Nam của tổ chức nhưng không quá ngày 30/9/2030.</w:t>
      </w:r>
    </w:p>
    <w:p w14:paraId="6A84BB50" w14:textId="11ABAA1F" w:rsidR="00E44B8A" w:rsidRPr="004409AB" w:rsidRDefault="00E44B8A" w:rsidP="004409AB">
      <w:pPr>
        <w:spacing w:before="120"/>
        <w:ind w:firstLine="567"/>
        <w:jc w:val="both"/>
        <w:rPr>
          <w:sz w:val="28"/>
          <w:szCs w:val="28"/>
          <w:highlight w:val="white"/>
        </w:rPr>
      </w:pPr>
      <w:r w:rsidRPr="004409AB">
        <w:rPr>
          <w:iCs/>
          <w:sz w:val="28"/>
          <w:szCs w:val="28"/>
          <w:highlight w:val="white"/>
        </w:rPr>
        <w:t xml:space="preserve">10. </w:t>
      </w:r>
      <w:bookmarkStart w:id="5" w:name="_Hlk160000992"/>
      <w:r w:rsidRPr="004409AB">
        <w:rPr>
          <w:iCs/>
          <w:sz w:val="28"/>
          <w:szCs w:val="28"/>
          <w:highlight w:val="white"/>
        </w:rPr>
        <w:t>Cơ chế tài chính áp dụng đối với khoản viện trợ: T</w:t>
      </w:r>
      <w:r w:rsidRPr="004409AB">
        <w:rPr>
          <w:sz w:val="28"/>
          <w:szCs w:val="28"/>
          <w:highlight w:val="white"/>
        </w:rPr>
        <w:t>huộc ng</w:t>
      </w:r>
      <w:r w:rsidR="00614BDB" w:rsidRPr="004409AB">
        <w:rPr>
          <w:sz w:val="28"/>
          <w:szCs w:val="28"/>
          <w:highlight w:val="white"/>
        </w:rPr>
        <w:t>uồn thu ngân sách n</w:t>
      </w:r>
      <w:r w:rsidRPr="004409AB">
        <w:rPr>
          <w:sz w:val="28"/>
          <w:szCs w:val="28"/>
          <w:highlight w:val="white"/>
        </w:rPr>
        <w:t>hà nước.</w:t>
      </w:r>
      <w:bookmarkEnd w:id="5"/>
    </w:p>
    <w:p w14:paraId="0112D69D" w14:textId="77777777" w:rsidR="00E44B8A" w:rsidRPr="004409AB" w:rsidRDefault="00E44B8A" w:rsidP="004409AB">
      <w:pPr>
        <w:spacing w:before="120"/>
        <w:ind w:firstLine="567"/>
        <w:jc w:val="both"/>
        <w:rPr>
          <w:sz w:val="28"/>
          <w:szCs w:val="28"/>
        </w:rPr>
      </w:pPr>
      <w:r w:rsidRPr="004409AB">
        <w:rPr>
          <w:iCs/>
          <w:sz w:val="28"/>
          <w:szCs w:val="28"/>
          <w:highlight w:val="white"/>
        </w:rPr>
        <w:t>11. Phương thức quản lý khoản viện trợ:</w:t>
      </w:r>
      <w:r w:rsidRPr="004409AB">
        <w:rPr>
          <w:sz w:val="28"/>
          <w:szCs w:val="28"/>
          <w:highlight w:val="white"/>
        </w:rPr>
        <w:t xml:space="preserve"> </w:t>
      </w:r>
      <w:r w:rsidRPr="004409AB">
        <w:rPr>
          <w:sz w:val="28"/>
          <w:szCs w:val="28"/>
        </w:rPr>
        <w:t>Thực hiện theo quy định tại Điều 20 Nghị định số 313/2025/NĐ-CP ngày 08/12/2025 của Chính phủ, Thông tư số 23/2022/TT-BTC ngày 06/4/2022 của Bộ Tài chính hướng dẫn quản lý tài chính Nhà nước đối với nguồn viện trợ không hoàn lại của nước ngoài thuộc nguồn thu ngân sách Nhà nước.</w:t>
      </w:r>
    </w:p>
    <w:p w14:paraId="622B42AB" w14:textId="77777777" w:rsidR="004409AB" w:rsidRDefault="00E44B8A" w:rsidP="004409AB">
      <w:pPr>
        <w:spacing w:before="120"/>
        <w:ind w:firstLine="567"/>
        <w:jc w:val="both"/>
        <w:rPr>
          <w:b/>
          <w:sz w:val="28"/>
          <w:szCs w:val="28"/>
        </w:rPr>
      </w:pPr>
      <w:r w:rsidRPr="004409AB">
        <w:rPr>
          <w:b/>
          <w:sz w:val="28"/>
          <w:szCs w:val="28"/>
        </w:rPr>
        <w:t xml:space="preserve">Điều 2. Trách nhiệm của các bên </w:t>
      </w:r>
    </w:p>
    <w:p w14:paraId="435CB7DD" w14:textId="72BDD469" w:rsidR="00E44B8A" w:rsidRPr="004409AB" w:rsidRDefault="004409AB" w:rsidP="004409AB">
      <w:pPr>
        <w:spacing w:before="120"/>
        <w:ind w:firstLine="567"/>
        <w:jc w:val="both"/>
        <w:rPr>
          <w:sz w:val="28"/>
          <w:szCs w:val="28"/>
        </w:rPr>
      </w:pPr>
      <w:r w:rsidRPr="004409AB">
        <w:rPr>
          <w:sz w:val="28"/>
          <w:szCs w:val="28"/>
        </w:rPr>
        <w:t xml:space="preserve">1. </w:t>
      </w:r>
      <w:r w:rsidR="00E44B8A" w:rsidRPr="004409AB">
        <w:rPr>
          <w:sz w:val="28"/>
          <w:szCs w:val="28"/>
        </w:rPr>
        <w:t xml:space="preserve">Sở Y tế: </w:t>
      </w:r>
    </w:p>
    <w:p w14:paraId="570679CB" w14:textId="77777777" w:rsidR="00E44B8A" w:rsidRPr="004409AB" w:rsidRDefault="00E44B8A" w:rsidP="004409AB">
      <w:pPr>
        <w:tabs>
          <w:tab w:val="left" w:pos="851"/>
        </w:tabs>
        <w:spacing w:before="120"/>
        <w:ind w:firstLine="567"/>
        <w:jc w:val="both"/>
        <w:rPr>
          <w:sz w:val="28"/>
          <w:szCs w:val="28"/>
        </w:rPr>
      </w:pPr>
      <w:r w:rsidRPr="004409AB">
        <w:rPr>
          <w:sz w:val="28"/>
          <w:szCs w:val="28"/>
        </w:rPr>
        <w:t>- Sau khi có Quyết định phê duyệt khoản viện trợ, Sở Y tế rà soát, hoàn chỉnh lại văn kiện dự án theo mẫu của Nghị định số 313/2025/NĐ-CP ngày 08/12/2025; tham mưu UBND tỉnh phê duyệt văn kiện dự án theo khoản 7 Điều 10 Nghị định số 313/2025/NĐ-CP ngày 08/12/2025 của Chính phủ.</w:t>
      </w:r>
    </w:p>
    <w:p w14:paraId="2E7B38CA" w14:textId="77777777" w:rsidR="00E44B8A" w:rsidRPr="004409AB" w:rsidRDefault="00E44B8A" w:rsidP="004409AB">
      <w:pPr>
        <w:spacing w:before="120"/>
        <w:ind w:firstLine="567"/>
        <w:jc w:val="both"/>
        <w:rPr>
          <w:sz w:val="28"/>
          <w:szCs w:val="28"/>
        </w:rPr>
      </w:pPr>
      <w:r w:rsidRPr="004409AB">
        <w:rPr>
          <w:sz w:val="28"/>
          <w:szCs w:val="28"/>
        </w:rPr>
        <w:t>- Tiếp nhận, triển khai, quản lý khoản viện trợ theo Nghị định số 313/2025/NĐ-CP ngày 08/12/2025 của Chính phủ về Quản lý và sử dụng viện trợ không hoàn lại không thuộc hỗ trợ phát triển chính thức của cơ quan, tổ chức, cá nhân nước ngoài dành cho Việt Nam. Thực hiện các nhiệm vụ và quyền hạn theo quy định tại Điều 14 Nghị định số 313/2025/NĐ-CP ngày 08/12/2025.</w:t>
      </w:r>
    </w:p>
    <w:p w14:paraId="483E6145" w14:textId="44C69B40" w:rsidR="00E44B8A" w:rsidRPr="004409AB" w:rsidRDefault="00E44B8A" w:rsidP="004409AB">
      <w:pPr>
        <w:spacing w:before="120"/>
        <w:ind w:firstLine="567"/>
        <w:jc w:val="both"/>
        <w:rPr>
          <w:sz w:val="28"/>
          <w:szCs w:val="28"/>
        </w:rPr>
      </w:pPr>
      <w:r w:rsidRPr="004409AB">
        <w:rPr>
          <w:sz w:val="28"/>
          <w:szCs w:val="28"/>
        </w:rPr>
        <w:t xml:space="preserve">- Phê duyệt kế hoạch hoạt động, kế hoạch tài chính hằng năm; xây </w:t>
      </w:r>
      <w:r w:rsidR="00E05780" w:rsidRPr="004409AB">
        <w:rPr>
          <w:sz w:val="28"/>
          <w:szCs w:val="28"/>
        </w:rPr>
        <w:t>dựng dự toán thu chi ngân sách n</w:t>
      </w:r>
      <w:r w:rsidRPr="004409AB">
        <w:rPr>
          <w:sz w:val="28"/>
          <w:szCs w:val="28"/>
        </w:rPr>
        <w:t>hà nước hằng năm đối với các khoản viện</w:t>
      </w:r>
      <w:r w:rsidR="00E05780" w:rsidRPr="004409AB">
        <w:rPr>
          <w:sz w:val="28"/>
          <w:szCs w:val="28"/>
        </w:rPr>
        <w:t xml:space="preserve"> trợ thuộc nguồn thu ngân sách n</w:t>
      </w:r>
      <w:r w:rsidRPr="004409AB">
        <w:rPr>
          <w:sz w:val="28"/>
          <w:szCs w:val="28"/>
        </w:rPr>
        <w:t>hà nước trình UBND tỉnh theo quy đ</w:t>
      </w:r>
      <w:r w:rsidR="00E05780" w:rsidRPr="004409AB">
        <w:rPr>
          <w:sz w:val="28"/>
          <w:szCs w:val="28"/>
        </w:rPr>
        <w:t>ịnh của pháp luật về ngân sách n</w:t>
      </w:r>
      <w:r w:rsidRPr="004409AB">
        <w:rPr>
          <w:sz w:val="28"/>
          <w:szCs w:val="28"/>
        </w:rPr>
        <w:t>hà nước.</w:t>
      </w:r>
    </w:p>
    <w:p w14:paraId="1C265D46" w14:textId="77777777" w:rsidR="00E44B8A" w:rsidRPr="004409AB" w:rsidRDefault="00E44B8A" w:rsidP="004409AB">
      <w:pPr>
        <w:spacing w:before="120"/>
        <w:ind w:firstLine="567"/>
        <w:jc w:val="both"/>
        <w:rPr>
          <w:sz w:val="28"/>
          <w:szCs w:val="28"/>
        </w:rPr>
      </w:pPr>
      <w:r w:rsidRPr="004409AB">
        <w:rPr>
          <w:sz w:val="28"/>
          <w:szCs w:val="28"/>
        </w:rPr>
        <w:t xml:space="preserve">- Báo cáo tình hình tiếp nhận viện trợ, tình hình thực hiện giải ngân khoản viện trợ 06 tháng và hàng năm cho Sở Tài chính; </w:t>
      </w:r>
      <w:r w:rsidRPr="004409AB">
        <w:rPr>
          <w:sz w:val="28"/>
          <w:szCs w:val="28"/>
          <w:lang w:val="vi-VN"/>
        </w:rPr>
        <w:t xml:space="preserve">báo cáo kết thúc khoản viện trợ </w:t>
      </w:r>
      <w:bookmarkStart w:id="6" w:name="dieu_18"/>
      <w:r w:rsidRPr="004409AB">
        <w:rPr>
          <w:sz w:val="28"/>
          <w:szCs w:val="28"/>
        </w:rPr>
        <w:t xml:space="preserve">đến UBND tỉnh, Bộ Tài chính theo quy định tại Điều 18 Nghị định số 313/2025/NĐ-CP ngày 08/12/2025 của Chính phủ </w:t>
      </w:r>
      <w:bookmarkEnd w:id="6"/>
      <w:r w:rsidRPr="004409AB">
        <w:rPr>
          <w:sz w:val="28"/>
          <w:szCs w:val="28"/>
        </w:rPr>
        <w:t xml:space="preserve">quy định về Bàn giao kết quả thực hiện viện trợ. </w:t>
      </w:r>
    </w:p>
    <w:p w14:paraId="06D50BAB" w14:textId="77777777" w:rsidR="00E44B8A" w:rsidRPr="004409AB" w:rsidRDefault="00E44B8A" w:rsidP="004409AB">
      <w:pPr>
        <w:spacing w:before="120"/>
        <w:ind w:firstLine="567"/>
        <w:jc w:val="both"/>
        <w:rPr>
          <w:sz w:val="28"/>
          <w:szCs w:val="28"/>
        </w:rPr>
      </w:pPr>
      <w:r w:rsidRPr="004409AB">
        <w:rPr>
          <w:sz w:val="28"/>
          <w:szCs w:val="28"/>
        </w:rPr>
        <w:t xml:space="preserve">- Chủ động phối hợp Công an tỉnh và các Sở, ngành, đơn vị liên quan tăng cường quản lý trong công tác trao đổi thông tin liên quan đến quản lý khoản viện trợ và kịp thời báo cáo UBND tỉnh đồng gửi Công an tỉnh và các Sở, ngành, đơn vị liên quan để phối hợp. </w:t>
      </w:r>
    </w:p>
    <w:p w14:paraId="281A1155" w14:textId="77777777" w:rsidR="00652271" w:rsidRPr="004409AB" w:rsidRDefault="00652271" w:rsidP="004409AB">
      <w:pPr>
        <w:spacing w:before="120"/>
        <w:ind w:firstLine="567"/>
        <w:jc w:val="both"/>
        <w:rPr>
          <w:sz w:val="28"/>
          <w:szCs w:val="28"/>
          <w:lang w:val="vi-VN"/>
        </w:rPr>
      </w:pPr>
      <w:r w:rsidRPr="004409AB">
        <w:rPr>
          <w:sz w:val="28"/>
          <w:szCs w:val="28"/>
        </w:rPr>
        <w:t>- C</w:t>
      </w:r>
      <w:r w:rsidRPr="004409AB">
        <w:rPr>
          <w:sz w:val="28"/>
          <w:szCs w:val="28"/>
          <w:lang w:val="vi-VN"/>
        </w:rPr>
        <w:t xml:space="preserve">hịu trách nhiệm quản lý văn kiện </w:t>
      </w:r>
      <w:r w:rsidRPr="004409AB">
        <w:rPr>
          <w:sz w:val="28"/>
          <w:szCs w:val="28"/>
        </w:rPr>
        <w:t>dự án</w:t>
      </w:r>
      <w:r w:rsidRPr="004409AB">
        <w:rPr>
          <w:sz w:val="28"/>
          <w:szCs w:val="28"/>
          <w:lang w:val="vi-VN"/>
        </w:rPr>
        <w:t xml:space="preserve"> đã được phê duyệt; tuân thủ các quy định v</w:t>
      </w:r>
      <w:r w:rsidRPr="004409AB">
        <w:rPr>
          <w:sz w:val="28"/>
          <w:szCs w:val="28"/>
        </w:rPr>
        <w:t>ề</w:t>
      </w:r>
      <w:r w:rsidRPr="004409AB">
        <w:rPr>
          <w:sz w:val="28"/>
          <w:szCs w:val="28"/>
          <w:lang w:val="vi-VN"/>
        </w:rPr>
        <w:t xml:space="preserve"> pháp luật có liên quan.</w:t>
      </w:r>
    </w:p>
    <w:p w14:paraId="0B17A5E6" w14:textId="77777777" w:rsidR="00652271" w:rsidRPr="004409AB" w:rsidRDefault="00652271" w:rsidP="004409AB">
      <w:pPr>
        <w:spacing w:before="120"/>
        <w:ind w:firstLine="567"/>
        <w:jc w:val="both"/>
        <w:rPr>
          <w:sz w:val="28"/>
          <w:szCs w:val="28"/>
        </w:rPr>
      </w:pPr>
      <w:r w:rsidRPr="004409AB">
        <w:rPr>
          <w:sz w:val="28"/>
          <w:szCs w:val="28"/>
        </w:rPr>
        <w:t>2. Tổ chức Holt International Children’s Services</w:t>
      </w:r>
    </w:p>
    <w:p w14:paraId="25442EFD" w14:textId="4DAE51A8" w:rsidR="00652271" w:rsidRPr="004409AB" w:rsidRDefault="00652271" w:rsidP="004409AB">
      <w:pPr>
        <w:spacing w:before="120"/>
        <w:ind w:firstLine="567"/>
        <w:jc w:val="both"/>
        <w:rPr>
          <w:sz w:val="28"/>
          <w:szCs w:val="28"/>
        </w:rPr>
      </w:pPr>
      <w:r w:rsidRPr="004409AB">
        <w:rPr>
          <w:sz w:val="28"/>
          <w:szCs w:val="28"/>
        </w:rPr>
        <w:t>Sau khi khoản viện trợ dự án được phê duyệt, Tổ chức Holt International Children’s Services (Holt/Mỹ) phối hợp với Sở Y tế tổ chức triển khai thực hiện theo quy định tại Nghị định số 313/2025/NĐ-CP ngày 08/12/2025 của Chính phủ về Quản lý và sử dụng viện trợ không hoàn lại không thuộc hỗ trợ phát triển chính thức của cơ quan, tổ chức, cá nhân nước ngoài dành cho Việt Nam; thực hiện đúng các nội dung hồ sơ dự án được phê duyệt và thực hiện đú</w:t>
      </w:r>
      <w:r w:rsidR="00E05780" w:rsidRPr="004409AB">
        <w:rPr>
          <w:sz w:val="28"/>
          <w:szCs w:val="28"/>
        </w:rPr>
        <w:t>ng hướng dẫn quản lý tài chính n</w:t>
      </w:r>
      <w:r w:rsidRPr="004409AB">
        <w:rPr>
          <w:sz w:val="28"/>
          <w:szCs w:val="28"/>
        </w:rPr>
        <w:t xml:space="preserve">hà nước </w:t>
      </w:r>
      <w:r w:rsidRPr="004409AB">
        <w:rPr>
          <w:sz w:val="28"/>
          <w:szCs w:val="28"/>
        </w:rPr>
        <w:lastRenderedPageBreak/>
        <w:t>đối với nguồn viện trợ không hoàn lại của nước n</w:t>
      </w:r>
      <w:r w:rsidR="00E05780" w:rsidRPr="004409AB">
        <w:rPr>
          <w:sz w:val="28"/>
          <w:szCs w:val="28"/>
        </w:rPr>
        <w:t>goài thuộc nguồn thu ngân sách n</w:t>
      </w:r>
      <w:r w:rsidRPr="004409AB">
        <w:rPr>
          <w:sz w:val="28"/>
          <w:szCs w:val="28"/>
        </w:rPr>
        <w:t xml:space="preserve">hà nước tại Thông tư số 23/2022/TT-BTC ngày 06/4/2022 của Bộ Tài chính. </w:t>
      </w:r>
    </w:p>
    <w:p w14:paraId="43CB6FDC" w14:textId="77777777" w:rsidR="00652271" w:rsidRPr="004409AB" w:rsidRDefault="00652271" w:rsidP="004409AB">
      <w:pPr>
        <w:spacing w:before="120"/>
        <w:ind w:firstLine="567"/>
        <w:jc w:val="both"/>
        <w:rPr>
          <w:sz w:val="28"/>
          <w:szCs w:val="28"/>
        </w:rPr>
      </w:pPr>
      <w:r w:rsidRPr="004409AB">
        <w:rPr>
          <w:sz w:val="28"/>
          <w:szCs w:val="28"/>
        </w:rPr>
        <w:t>3. Sở Ngoại vụ</w:t>
      </w:r>
    </w:p>
    <w:p w14:paraId="6E8F1D7E" w14:textId="77777777" w:rsidR="00652271" w:rsidRPr="004409AB" w:rsidRDefault="00652271" w:rsidP="004409AB">
      <w:pPr>
        <w:spacing w:before="120"/>
        <w:ind w:firstLine="567"/>
        <w:jc w:val="both"/>
        <w:rPr>
          <w:sz w:val="28"/>
          <w:szCs w:val="28"/>
        </w:rPr>
      </w:pPr>
      <w:r w:rsidRPr="004409AB">
        <w:rPr>
          <w:sz w:val="28"/>
          <w:szCs w:val="28"/>
        </w:rPr>
        <w:t xml:space="preserve">- Phối hợp với Công an tỉnh thực hiện tốt công tác quản lý người nước ngoài trong quá trình hoạt động tại địa phương theo quy định. </w:t>
      </w:r>
    </w:p>
    <w:p w14:paraId="036B4B0F" w14:textId="77777777" w:rsidR="00652271" w:rsidRPr="004409AB" w:rsidRDefault="00652271" w:rsidP="004409AB">
      <w:pPr>
        <w:spacing w:before="120"/>
        <w:ind w:firstLine="567"/>
        <w:jc w:val="both"/>
        <w:rPr>
          <w:sz w:val="28"/>
          <w:szCs w:val="28"/>
        </w:rPr>
      </w:pPr>
      <w:r w:rsidRPr="004409AB">
        <w:rPr>
          <w:sz w:val="28"/>
          <w:szCs w:val="28"/>
        </w:rPr>
        <w:t xml:space="preserve">- Hướng dẫn, thực hiện các thủ tục cần thiết theo quy định khi các đoàn công tác của Tổ chức Holt International Children’s Services (Holt/Mỹ) đến làm việc tại tỉnh. </w:t>
      </w:r>
    </w:p>
    <w:p w14:paraId="6450EDC4" w14:textId="77777777" w:rsidR="004409AB" w:rsidRDefault="00652271" w:rsidP="004409AB">
      <w:pPr>
        <w:spacing w:before="120"/>
        <w:ind w:firstLine="567"/>
        <w:jc w:val="both"/>
        <w:rPr>
          <w:sz w:val="28"/>
          <w:szCs w:val="28"/>
        </w:rPr>
      </w:pPr>
      <w:r w:rsidRPr="004409AB">
        <w:rPr>
          <w:b/>
          <w:sz w:val="28"/>
          <w:szCs w:val="28"/>
        </w:rPr>
        <w:t>Điều 3.</w:t>
      </w:r>
      <w:r w:rsidRPr="004409AB">
        <w:rPr>
          <w:sz w:val="28"/>
          <w:szCs w:val="28"/>
        </w:rPr>
        <w:t xml:space="preserve"> Chánh Văn phòng UBND tỉnh; </w:t>
      </w:r>
      <w:r w:rsidRPr="004409AB">
        <w:rPr>
          <w:sz w:val="28"/>
          <w:szCs w:val="28"/>
          <w:u w:color="FF0000"/>
        </w:rPr>
        <w:t>Giám đốc</w:t>
      </w:r>
      <w:r w:rsidRPr="004409AB">
        <w:rPr>
          <w:sz w:val="28"/>
          <w:szCs w:val="28"/>
        </w:rPr>
        <w:t xml:space="preserve"> Công an tỉnh; Giám đốc các Sở: Tài chính, Y tế, Ngoại vụ; </w:t>
      </w:r>
      <w:r w:rsidRPr="004409AB">
        <w:rPr>
          <w:sz w:val="28"/>
          <w:szCs w:val="28"/>
          <w:u w:color="FF0000"/>
        </w:rPr>
        <w:t>Chủ tịch</w:t>
      </w:r>
      <w:r w:rsidRPr="004409AB">
        <w:rPr>
          <w:sz w:val="28"/>
          <w:szCs w:val="28"/>
        </w:rPr>
        <w:t xml:space="preserve"> Liên hiệp các tổ chức hữu nghị tỉnh, Tổ chức Holt International Children’s Services và các cơ quan, đơn vị liên quan chịu trách nhiệm thực hiện Quyết định này kể từ ngày ký./.</w:t>
      </w:r>
      <w:r w:rsidRPr="004409AB">
        <w:rPr>
          <w:sz w:val="28"/>
          <w:szCs w:val="28"/>
        </w:rPr>
        <w:tab/>
      </w:r>
    </w:p>
    <w:p w14:paraId="144FB6CF" w14:textId="77777777" w:rsidR="004409AB" w:rsidRDefault="004409AB" w:rsidP="004409AB">
      <w:pPr>
        <w:ind w:firstLine="567"/>
        <w:jc w:val="both"/>
        <w:rPr>
          <w:sz w:val="28"/>
          <w:szCs w:val="28"/>
        </w:rPr>
      </w:pPr>
    </w:p>
    <w:p w14:paraId="0482C79D" w14:textId="0FBE5857" w:rsidR="00652271" w:rsidRPr="004409AB" w:rsidRDefault="00652271" w:rsidP="004409AB">
      <w:pPr>
        <w:ind w:firstLine="4536"/>
        <w:jc w:val="center"/>
        <w:rPr>
          <w:sz w:val="28"/>
          <w:szCs w:val="28"/>
        </w:rPr>
      </w:pPr>
      <w:r w:rsidRPr="004409AB">
        <w:rPr>
          <w:b/>
          <w:bCs/>
          <w:sz w:val="28"/>
          <w:szCs w:val="28"/>
          <w:highlight w:val="white"/>
        </w:rPr>
        <w:t>KT.</w:t>
      </w:r>
      <w:r w:rsidRPr="004409AB">
        <w:rPr>
          <w:b/>
          <w:sz w:val="28"/>
          <w:szCs w:val="28"/>
          <w:highlight w:val="white"/>
        </w:rPr>
        <w:t xml:space="preserve"> CHỦ TỊCH</w:t>
      </w:r>
    </w:p>
    <w:p w14:paraId="283095FF" w14:textId="7773F408" w:rsidR="004409AB" w:rsidRDefault="00652271" w:rsidP="004409AB">
      <w:pPr>
        <w:tabs>
          <w:tab w:val="left" w:pos="7116"/>
        </w:tabs>
        <w:ind w:firstLine="4536"/>
        <w:jc w:val="center"/>
        <w:rPr>
          <w:b/>
          <w:bCs/>
          <w:sz w:val="28"/>
          <w:szCs w:val="28"/>
        </w:rPr>
      </w:pPr>
      <w:r w:rsidRPr="004409AB">
        <w:rPr>
          <w:b/>
          <w:bCs/>
          <w:sz w:val="28"/>
          <w:szCs w:val="28"/>
          <w:highlight w:val="white"/>
        </w:rPr>
        <w:t>PHÓ CHỦ TỊCH</w:t>
      </w:r>
    </w:p>
    <w:p w14:paraId="0B2FEBE9" w14:textId="77777777" w:rsidR="004409AB" w:rsidRPr="004409AB" w:rsidRDefault="004409AB" w:rsidP="004409AB">
      <w:pPr>
        <w:tabs>
          <w:tab w:val="left" w:pos="7116"/>
        </w:tabs>
        <w:ind w:firstLine="4536"/>
        <w:jc w:val="center"/>
        <w:rPr>
          <w:b/>
          <w:bCs/>
          <w:sz w:val="28"/>
          <w:szCs w:val="28"/>
        </w:rPr>
      </w:pPr>
    </w:p>
    <w:p w14:paraId="3FA13354" w14:textId="0053E58F" w:rsidR="009B5C62" w:rsidRPr="004409AB" w:rsidRDefault="00652271" w:rsidP="004409AB">
      <w:pPr>
        <w:tabs>
          <w:tab w:val="center" w:pos="6480"/>
        </w:tabs>
        <w:ind w:firstLine="4536"/>
        <w:jc w:val="center"/>
        <w:rPr>
          <w:sz w:val="28"/>
          <w:szCs w:val="28"/>
        </w:rPr>
      </w:pPr>
      <w:r w:rsidRPr="004409AB">
        <w:rPr>
          <w:b/>
          <w:bCs/>
          <w:sz w:val="28"/>
          <w:szCs w:val="28"/>
          <w:highlight w:val="white"/>
        </w:rPr>
        <w:t>Lê Trường Sơn</w:t>
      </w:r>
    </w:p>
    <w:sectPr w:rsidR="009B5C62" w:rsidRPr="004409AB" w:rsidSect="004409AB">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8AABE" w14:textId="77777777" w:rsidR="000A4977" w:rsidRDefault="000A4977" w:rsidP="00620BA1">
      <w:r>
        <w:separator/>
      </w:r>
    </w:p>
  </w:endnote>
  <w:endnote w:type="continuationSeparator" w:id="0">
    <w:p w14:paraId="7E533D52" w14:textId="77777777" w:rsidR="000A4977" w:rsidRDefault="000A4977" w:rsidP="0062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BFD9" w14:textId="77777777" w:rsidR="000A4977" w:rsidRDefault="000A4977" w:rsidP="00620BA1">
      <w:r>
        <w:separator/>
      </w:r>
    </w:p>
  </w:footnote>
  <w:footnote w:type="continuationSeparator" w:id="0">
    <w:p w14:paraId="75912F68" w14:textId="77777777" w:rsidR="000A4977" w:rsidRDefault="000A4977" w:rsidP="0062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AECB" w14:textId="34B1FC45" w:rsidR="001B21D8" w:rsidRPr="004409AB" w:rsidRDefault="001B21D8">
    <w:pPr>
      <w:pStyle w:val="Header"/>
      <w:jc w:val="center"/>
      <w:rPr>
        <w:rFonts w:ascii="Times New Roman" w:hAnsi="Times New Roman" w:cs="Times New Roman"/>
        <w:sz w:val="28"/>
        <w:szCs w:val="28"/>
      </w:rPr>
    </w:pPr>
  </w:p>
  <w:p w14:paraId="72BB88F7" w14:textId="77777777" w:rsidR="00620BA1" w:rsidRPr="004409AB" w:rsidRDefault="00620BA1">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27A1A"/>
    <w:multiLevelType w:val="hybridMultilevel"/>
    <w:tmpl w:val="58EA5CC8"/>
    <w:lvl w:ilvl="0" w:tplc="E25207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A1"/>
    <w:rsid w:val="00013AAD"/>
    <w:rsid w:val="00022668"/>
    <w:rsid w:val="000403CF"/>
    <w:rsid w:val="00067C94"/>
    <w:rsid w:val="00071282"/>
    <w:rsid w:val="000759FC"/>
    <w:rsid w:val="0008490F"/>
    <w:rsid w:val="000A4977"/>
    <w:rsid w:val="000D10AA"/>
    <w:rsid w:val="000E3794"/>
    <w:rsid w:val="000E48D5"/>
    <w:rsid w:val="000F6A49"/>
    <w:rsid w:val="00113EE2"/>
    <w:rsid w:val="00122168"/>
    <w:rsid w:val="001367FA"/>
    <w:rsid w:val="0014188A"/>
    <w:rsid w:val="00143E94"/>
    <w:rsid w:val="00151472"/>
    <w:rsid w:val="00171B92"/>
    <w:rsid w:val="00175501"/>
    <w:rsid w:val="001960B7"/>
    <w:rsid w:val="001B21D8"/>
    <w:rsid w:val="001B6C43"/>
    <w:rsid w:val="001D07F4"/>
    <w:rsid w:val="0026298D"/>
    <w:rsid w:val="00276A31"/>
    <w:rsid w:val="002B3789"/>
    <w:rsid w:val="002C0BA8"/>
    <w:rsid w:val="003171E8"/>
    <w:rsid w:val="00327D21"/>
    <w:rsid w:val="0033589A"/>
    <w:rsid w:val="00346AC9"/>
    <w:rsid w:val="00364E16"/>
    <w:rsid w:val="003B5AD2"/>
    <w:rsid w:val="003B696A"/>
    <w:rsid w:val="003C6031"/>
    <w:rsid w:val="003D3C60"/>
    <w:rsid w:val="003F71E4"/>
    <w:rsid w:val="00403CC1"/>
    <w:rsid w:val="0040789F"/>
    <w:rsid w:val="00420396"/>
    <w:rsid w:val="00420C95"/>
    <w:rsid w:val="004409AB"/>
    <w:rsid w:val="00456A2F"/>
    <w:rsid w:val="00490FFF"/>
    <w:rsid w:val="004A1458"/>
    <w:rsid w:val="004C0C9D"/>
    <w:rsid w:val="004D4BE7"/>
    <w:rsid w:val="004E2AFD"/>
    <w:rsid w:val="004E47E8"/>
    <w:rsid w:val="004F7B37"/>
    <w:rsid w:val="00517498"/>
    <w:rsid w:val="00524550"/>
    <w:rsid w:val="00532888"/>
    <w:rsid w:val="00532D60"/>
    <w:rsid w:val="00532D7F"/>
    <w:rsid w:val="00541F4D"/>
    <w:rsid w:val="0055175B"/>
    <w:rsid w:val="00555B4F"/>
    <w:rsid w:val="005756FC"/>
    <w:rsid w:val="00590442"/>
    <w:rsid w:val="005D02A0"/>
    <w:rsid w:val="005D4921"/>
    <w:rsid w:val="005D50F2"/>
    <w:rsid w:val="005F1B81"/>
    <w:rsid w:val="005F4866"/>
    <w:rsid w:val="00614BDB"/>
    <w:rsid w:val="00620BA1"/>
    <w:rsid w:val="00624D76"/>
    <w:rsid w:val="006417FB"/>
    <w:rsid w:val="00643E1C"/>
    <w:rsid w:val="00650F43"/>
    <w:rsid w:val="00652271"/>
    <w:rsid w:val="006536D6"/>
    <w:rsid w:val="00654483"/>
    <w:rsid w:val="00694DDA"/>
    <w:rsid w:val="006977EF"/>
    <w:rsid w:val="006C4E82"/>
    <w:rsid w:val="006C6F34"/>
    <w:rsid w:val="006F7069"/>
    <w:rsid w:val="007124C0"/>
    <w:rsid w:val="00733022"/>
    <w:rsid w:val="007336EC"/>
    <w:rsid w:val="00740D31"/>
    <w:rsid w:val="00744317"/>
    <w:rsid w:val="00745204"/>
    <w:rsid w:val="0075619E"/>
    <w:rsid w:val="0076079E"/>
    <w:rsid w:val="00772A0D"/>
    <w:rsid w:val="00781842"/>
    <w:rsid w:val="00784E9F"/>
    <w:rsid w:val="00786509"/>
    <w:rsid w:val="007A0379"/>
    <w:rsid w:val="007A53DD"/>
    <w:rsid w:val="007E2AA9"/>
    <w:rsid w:val="007F470A"/>
    <w:rsid w:val="00806F17"/>
    <w:rsid w:val="0081035E"/>
    <w:rsid w:val="00811C54"/>
    <w:rsid w:val="00853C0C"/>
    <w:rsid w:val="00856C85"/>
    <w:rsid w:val="00860951"/>
    <w:rsid w:val="00892BD8"/>
    <w:rsid w:val="008A6881"/>
    <w:rsid w:val="008B20B8"/>
    <w:rsid w:val="008D2744"/>
    <w:rsid w:val="008E493F"/>
    <w:rsid w:val="009255BF"/>
    <w:rsid w:val="009308B9"/>
    <w:rsid w:val="00941DFE"/>
    <w:rsid w:val="009572A8"/>
    <w:rsid w:val="009645A3"/>
    <w:rsid w:val="00980B2E"/>
    <w:rsid w:val="00985B73"/>
    <w:rsid w:val="00993E18"/>
    <w:rsid w:val="009956C1"/>
    <w:rsid w:val="009A3FCD"/>
    <w:rsid w:val="009B09B0"/>
    <w:rsid w:val="009B5C62"/>
    <w:rsid w:val="009B6000"/>
    <w:rsid w:val="009C21F3"/>
    <w:rsid w:val="009C4685"/>
    <w:rsid w:val="009C722C"/>
    <w:rsid w:val="009E6D6F"/>
    <w:rsid w:val="009F2BBB"/>
    <w:rsid w:val="00A04B55"/>
    <w:rsid w:val="00A05525"/>
    <w:rsid w:val="00A145A0"/>
    <w:rsid w:val="00A24014"/>
    <w:rsid w:val="00A252BF"/>
    <w:rsid w:val="00A43411"/>
    <w:rsid w:val="00A921AD"/>
    <w:rsid w:val="00AA3153"/>
    <w:rsid w:val="00AA68F6"/>
    <w:rsid w:val="00AE054A"/>
    <w:rsid w:val="00AE2C45"/>
    <w:rsid w:val="00AF0025"/>
    <w:rsid w:val="00B05DDA"/>
    <w:rsid w:val="00B31042"/>
    <w:rsid w:val="00B460AD"/>
    <w:rsid w:val="00B46168"/>
    <w:rsid w:val="00B5709B"/>
    <w:rsid w:val="00BA11D2"/>
    <w:rsid w:val="00C01E96"/>
    <w:rsid w:val="00C83591"/>
    <w:rsid w:val="00CA1D7E"/>
    <w:rsid w:val="00CB3894"/>
    <w:rsid w:val="00CD51E5"/>
    <w:rsid w:val="00D04DC2"/>
    <w:rsid w:val="00D204D1"/>
    <w:rsid w:val="00D26BC8"/>
    <w:rsid w:val="00D530EE"/>
    <w:rsid w:val="00D95C07"/>
    <w:rsid w:val="00DA5A83"/>
    <w:rsid w:val="00DB3105"/>
    <w:rsid w:val="00DC0729"/>
    <w:rsid w:val="00DC55A7"/>
    <w:rsid w:val="00DC6DE2"/>
    <w:rsid w:val="00DD3F09"/>
    <w:rsid w:val="00DD5F32"/>
    <w:rsid w:val="00DD6AC2"/>
    <w:rsid w:val="00DF7B74"/>
    <w:rsid w:val="00E05780"/>
    <w:rsid w:val="00E11B59"/>
    <w:rsid w:val="00E2109D"/>
    <w:rsid w:val="00E23B10"/>
    <w:rsid w:val="00E44B8A"/>
    <w:rsid w:val="00E8182F"/>
    <w:rsid w:val="00EA22F8"/>
    <w:rsid w:val="00EB1CC0"/>
    <w:rsid w:val="00EC4BE7"/>
    <w:rsid w:val="00EE7267"/>
    <w:rsid w:val="00F01211"/>
    <w:rsid w:val="00F30685"/>
    <w:rsid w:val="00F51243"/>
    <w:rsid w:val="00F552BB"/>
    <w:rsid w:val="00F65791"/>
    <w:rsid w:val="00F66595"/>
    <w:rsid w:val="00F67264"/>
    <w:rsid w:val="00F713D5"/>
    <w:rsid w:val="00F735AE"/>
    <w:rsid w:val="00FA5214"/>
    <w:rsid w:val="00FD0E53"/>
    <w:rsid w:val="00FE7867"/>
    <w:rsid w:val="00FF27BA"/>
    <w:rsid w:val="00FF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D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0B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0B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0B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B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0B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0B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0B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0B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0B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BA1"/>
    <w:rPr>
      <w:rFonts w:eastAsiaTheme="majorEastAsia" w:cstheme="majorBidi"/>
      <w:color w:val="272727" w:themeColor="text1" w:themeTint="D8"/>
    </w:rPr>
  </w:style>
  <w:style w:type="paragraph" w:styleId="Title">
    <w:name w:val="Title"/>
    <w:basedOn w:val="Normal"/>
    <w:next w:val="Normal"/>
    <w:link w:val="TitleChar"/>
    <w:uiPriority w:val="10"/>
    <w:qFormat/>
    <w:rsid w:val="00620B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B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B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20BA1"/>
    <w:rPr>
      <w:i/>
      <w:iCs/>
      <w:color w:val="404040" w:themeColor="text1" w:themeTint="BF"/>
    </w:rPr>
  </w:style>
  <w:style w:type="paragraph" w:styleId="ListParagraph">
    <w:name w:val="List Paragraph"/>
    <w:basedOn w:val="Normal"/>
    <w:uiPriority w:val="34"/>
    <w:qFormat/>
    <w:rsid w:val="00620B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20BA1"/>
    <w:rPr>
      <w:i/>
      <w:iCs/>
      <w:color w:val="0F4761" w:themeColor="accent1" w:themeShade="BF"/>
    </w:rPr>
  </w:style>
  <w:style w:type="paragraph" w:styleId="IntenseQuote">
    <w:name w:val="Intense Quote"/>
    <w:basedOn w:val="Normal"/>
    <w:next w:val="Normal"/>
    <w:link w:val="IntenseQuoteChar"/>
    <w:uiPriority w:val="30"/>
    <w:qFormat/>
    <w:rsid w:val="00620B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20BA1"/>
    <w:rPr>
      <w:i/>
      <w:iCs/>
      <w:color w:val="0F4761" w:themeColor="accent1" w:themeShade="BF"/>
    </w:rPr>
  </w:style>
  <w:style w:type="character" w:styleId="IntenseReference">
    <w:name w:val="Intense Reference"/>
    <w:basedOn w:val="DefaultParagraphFont"/>
    <w:uiPriority w:val="32"/>
    <w:qFormat/>
    <w:rsid w:val="00620BA1"/>
    <w:rPr>
      <w:b/>
      <w:bCs/>
      <w:smallCaps/>
      <w:color w:val="0F4761" w:themeColor="accent1" w:themeShade="BF"/>
      <w:spacing w:val="5"/>
    </w:rPr>
  </w:style>
  <w:style w:type="paragraph" w:styleId="Header">
    <w:name w:val="header"/>
    <w:basedOn w:val="Normal"/>
    <w:link w:val="HeaderChar"/>
    <w:uiPriority w:val="99"/>
    <w:unhideWhenUsed/>
    <w:rsid w:val="00620B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620BA1"/>
  </w:style>
  <w:style w:type="paragraph" w:styleId="Footer">
    <w:name w:val="footer"/>
    <w:basedOn w:val="Normal"/>
    <w:link w:val="FooterChar"/>
    <w:uiPriority w:val="99"/>
    <w:unhideWhenUsed/>
    <w:rsid w:val="00620B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620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D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0B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0B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0B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B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0B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0B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0B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0B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0B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BA1"/>
    <w:rPr>
      <w:rFonts w:eastAsiaTheme="majorEastAsia" w:cstheme="majorBidi"/>
      <w:color w:val="272727" w:themeColor="text1" w:themeTint="D8"/>
    </w:rPr>
  </w:style>
  <w:style w:type="paragraph" w:styleId="Title">
    <w:name w:val="Title"/>
    <w:basedOn w:val="Normal"/>
    <w:next w:val="Normal"/>
    <w:link w:val="TitleChar"/>
    <w:uiPriority w:val="10"/>
    <w:qFormat/>
    <w:rsid w:val="00620B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B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B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20BA1"/>
    <w:rPr>
      <w:i/>
      <w:iCs/>
      <w:color w:val="404040" w:themeColor="text1" w:themeTint="BF"/>
    </w:rPr>
  </w:style>
  <w:style w:type="paragraph" w:styleId="ListParagraph">
    <w:name w:val="List Paragraph"/>
    <w:basedOn w:val="Normal"/>
    <w:uiPriority w:val="34"/>
    <w:qFormat/>
    <w:rsid w:val="00620B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20BA1"/>
    <w:rPr>
      <w:i/>
      <w:iCs/>
      <w:color w:val="0F4761" w:themeColor="accent1" w:themeShade="BF"/>
    </w:rPr>
  </w:style>
  <w:style w:type="paragraph" w:styleId="IntenseQuote">
    <w:name w:val="Intense Quote"/>
    <w:basedOn w:val="Normal"/>
    <w:next w:val="Normal"/>
    <w:link w:val="IntenseQuoteChar"/>
    <w:uiPriority w:val="30"/>
    <w:qFormat/>
    <w:rsid w:val="00620B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20BA1"/>
    <w:rPr>
      <w:i/>
      <w:iCs/>
      <w:color w:val="0F4761" w:themeColor="accent1" w:themeShade="BF"/>
    </w:rPr>
  </w:style>
  <w:style w:type="character" w:styleId="IntenseReference">
    <w:name w:val="Intense Reference"/>
    <w:basedOn w:val="DefaultParagraphFont"/>
    <w:uiPriority w:val="32"/>
    <w:qFormat/>
    <w:rsid w:val="00620BA1"/>
    <w:rPr>
      <w:b/>
      <w:bCs/>
      <w:smallCaps/>
      <w:color w:val="0F4761" w:themeColor="accent1" w:themeShade="BF"/>
      <w:spacing w:val="5"/>
    </w:rPr>
  </w:style>
  <w:style w:type="paragraph" w:styleId="Header">
    <w:name w:val="header"/>
    <w:basedOn w:val="Normal"/>
    <w:link w:val="HeaderChar"/>
    <w:uiPriority w:val="99"/>
    <w:unhideWhenUsed/>
    <w:rsid w:val="00620B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620BA1"/>
  </w:style>
  <w:style w:type="paragraph" w:styleId="Footer">
    <w:name w:val="footer"/>
    <w:basedOn w:val="Normal"/>
    <w:link w:val="FooterChar"/>
    <w:uiPriority w:val="99"/>
    <w:unhideWhenUsed/>
    <w:rsid w:val="00620B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62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Maytinh2</cp:lastModifiedBy>
  <cp:revision>36</cp:revision>
  <cp:lastPrinted>2025-09-26T07:33:00Z</cp:lastPrinted>
  <dcterms:created xsi:type="dcterms:W3CDTF">2026-01-10T02:20:00Z</dcterms:created>
  <dcterms:modified xsi:type="dcterms:W3CDTF">2026-01-30T08:18:00Z</dcterms:modified>
</cp:coreProperties>
</file>